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3175" w14:textId="4DF61591" w:rsidR="00EB7BB4" w:rsidRDefault="00EB7BB4"/>
    <w:p w14:paraId="74A64120" w14:textId="291D6695" w:rsidR="00EB7BB4" w:rsidRDefault="00EB7BB4"/>
    <w:p w14:paraId="67F522A4" w14:textId="423ED67A" w:rsidR="00EB7BB4" w:rsidRDefault="00EB7BB4"/>
    <w:p w14:paraId="7FB6EB8B" w14:textId="432EDB72" w:rsidR="00EB7BB4" w:rsidRPr="00EB7BB4" w:rsidRDefault="00EB7BB4">
      <w:pPr>
        <w:rPr>
          <w:rFonts w:ascii="Tondo" w:hAnsi="Tondo"/>
        </w:rPr>
      </w:pPr>
      <w:r w:rsidRPr="00EB7BB4">
        <w:rPr>
          <w:rFonts w:ascii="Tondo" w:hAnsi="Tondo"/>
        </w:rPr>
        <w:t xml:space="preserve">Summary document outlining the changes that </w:t>
      </w:r>
      <w:r w:rsidRPr="00EB7BB4">
        <w:rPr>
          <w:rFonts w:ascii="Tondo" w:hAnsi="Tondo"/>
          <w:b/>
          <w:bCs/>
          <w:color w:val="4A205D"/>
        </w:rPr>
        <w:t>Safeguarding Network</w:t>
      </w:r>
      <w:r w:rsidRPr="00EB7BB4">
        <w:rPr>
          <w:rFonts w:ascii="Tondo" w:hAnsi="Tondo"/>
        </w:rPr>
        <w:t xml:space="preserve"> have identified in </w:t>
      </w:r>
      <w:hyperlink r:id="rId8" w:history="1">
        <w:r w:rsidR="0028264C">
          <w:rPr>
            <w:rStyle w:val="Hyperlink"/>
            <w:rFonts w:ascii="Tondo" w:hAnsi="Tondo"/>
            <w:color w:val="EB3377"/>
          </w:rPr>
          <w:t>Sexual violence and sexual harassment between children in schools and colleges</w:t>
        </w:r>
      </w:hyperlink>
      <w:r w:rsidRPr="00EB7BB4">
        <w:rPr>
          <w:rFonts w:ascii="Tondo" w:hAnsi="Tondo"/>
        </w:rPr>
        <w:t xml:space="preserve">.  The notes column provides space for additional thoughts, and in some </w:t>
      </w:r>
      <w:r w:rsidR="00220031" w:rsidRPr="00EB7BB4">
        <w:rPr>
          <w:rFonts w:ascii="Tondo" w:hAnsi="Tondo"/>
        </w:rPr>
        <w:t>places,</w:t>
      </w:r>
      <w:r w:rsidRPr="00EB7BB4">
        <w:rPr>
          <w:rFonts w:ascii="Tondo" w:hAnsi="Tondo"/>
        </w:rPr>
        <w:t xml:space="preserve"> we have added some of our own already.</w:t>
      </w:r>
    </w:p>
    <w:tbl>
      <w:tblPr>
        <w:tblStyle w:val="TableGrid"/>
        <w:tblW w:w="14596" w:type="dxa"/>
        <w:tblLook w:val="04A0" w:firstRow="1" w:lastRow="0" w:firstColumn="1" w:lastColumn="0" w:noHBand="0" w:noVBand="1"/>
      </w:tblPr>
      <w:tblGrid>
        <w:gridCol w:w="747"/>
        <w:gridCol w:w="1944"/>
        <w:gridCol w:w="5313"/>
        <w:gridCol w:w="1622"/>
        <w:gridCol w:w="4970"/>
      </w:tblGrid>
      <w:tr w:rsidR="00EB7BB4" w:rsidRPr="00222D45" w14:paraId="5F54E6CA" w14:textId="77777777" w:rsidTr="00D80987">
        <w:trPr>
          <w:tblHeader/>
        </w:trPr>
        <w:tc>
          <w:tcPr>
            <w:tcW w:w="747" w:type="dxa"/>
            <w:shd w:val="clear" w:color="auto" w:fill="4A205D"/>
          </w:tcPr>
          <w:p w14:paraId="5A4337EE" w14:textId="77777777" w:rsidR="00EB7BB4" w:rsidRPr="00222D45" w:rsidRDefault="00EB7BB4" w:rsidP="00F62CF1">
            <w:pPr>
              <w:jc w:val="center"/>
              <w:rPr>
                <w:rFonts w:ascii="Tondo" w:hAnsi="Tondo"/>
                <w:b/>
                <w:bCs/>
              </w:rPr>
            </w:pPr>
            <w:r w:rsidRPr="00222D45">
              <w:rPr>
                <w:rFonts w:ascii="Tondo" w:hAnsi="Tondo"/>
                <w:b/>
                <w:bCs/>
              </w:rPr>
              <w:t>Page</w:t>
            </w:r>
          </w:p>
        </w:tc>
        <w:tc>
          <w:tcPr>
            <w:tcW w:w="1944" w:type="dxa"/>
            <w:shd w:val="clear" w:color="auto" w:fill="4A205D"/>
          </w:tcPr>
          <w:p w14:paraId="5FC588E4" w14:textId="77777777" w:rsidR="00EB7BB4" w:rsidRPr="00222D45" w:rsidRDefault="00EB7BB4" w:rsidP="00F62CF1">
            <w:pPr>
              <w:jc w:val="center"/>
              <w:rPr>
                <w:rFonts w:ascii="Tondo" w:hAnsi="Tondo"/>
                <w:b/>
                <w:bCs/>
              </w:rPr>
            </w:pPr>
            <w:r w:rsidRPr="00222D45">
              <w:rPr>
                <w:rFonts w:ascii="Tondo" w:hAnsi="Tondo"/>
                <w:b/>
                <w:bCs/>
              </w:rPr>
              <w:t>Para</w:t>
            </w:r>
          </w:p>
        </w:tc>
        <w:tc>
          <w:tcPr>
            <w:tcW w:w="5313" w:type="dxa"/>
            <w:shd w:val="clear" w:color="auto" w:fill="4A205D"/>
          </w:tcPr>
          <w:p w14:paraId="38216E17" w14:textId="77777777" w:rsidR="00EB7BB4" w:rsidRPr="00222D45" w:rsidRDefault="00EB7BB4" w:rsidP="00F62CF1">
            <w:pPr>
              <w:jc w:val="center"/>
              <w:rPr>
                <w:rFonts w:ascii="Tondo" w:hAnsi="Tondo"/>
                <w:b/>
                <w:bCs/>
              </w:rPr>
            </w:pPr>
            <w:r w:rsidRPr="00222D45">
              <w:rPr>
                <w:rFonts w:ascii="Tondo" w:hAnsi="Tondo"/>
                <w:b/>
                <w:bCs/>
              </w:rPr>
              <w:t>Change</w:t>
            </w:r>
          </w:p>
        </w:tc>
        <w:tc>
          <w:tcPr>
            <w:tcW w:w="1622" w:type="dxa"/>
            <w:shd w:val="clear" w:color="auto" w:fill="4A205D"/>
          </w:tcPr>
          <w:p w14:paraId="75894B55" w14:textId="77777777" w:rsidR="00EB7BB4" w:rsidRPr="00222D45" w:rsidRDefault="00EB7BB4" w:rsidP="00F62CF1">
            <w:pPr>
              <w:jc w:val="center"/>
              <w:rPr>
                <w:rFonts w:ascii="Tondo" w:hAnsi="Tondo"/>
                <w:b/>
                <w:bCs/>
              </w:rPr>
            </w:pPr>
            <w:r w:rsidRPr="00222D45">
              <w:rPr>
                <w:rFonts w:ascii="Tondo" w:hAnsi="Tondo"/>
                <w:b/>
                <w:bCs/>
              </w:rPr>
              <w:t>Theme</w:t>
            </w:r>
          </w:p>
        </w:tc>
        <w:tc>
          <w:tcPr>
            <w:tcW w:w="4970" w:type="dxa"/>
            <w:shd w:val="clear" w:color="auto" w:fill="4A205D"/>
          </w:tcPr>
          <w:p w14:paraId="2F1BFA0F" w14:textId="77777777" w:rsidR="00EB7BB4" w:rsidRPr="00222D45" w:rsidRDefault="00EB7BB4" w:rsidP="00F62CF1">
            <w:pPr>
              <w:jc w:val="center"/>
              <w:rPr>
                <w:rFonts w:ascii="Tondo" w:hAnsi="Tondo"/>
                <w:b/>
                <w:bCs/>
              </w:rPr>
            </w:pPr>
            <w:r w:rsidRPr="00222D45">
              <w:rPr>
                <w:rFonts w:ascii="Tondo" w:hAnsi="Tondo"/>
                <w:b/>
                <w:bCs/>
              </w:rPr>
              <w:t>Notes</w:t>
            </w:r>
          </w:p>
        </w:tc>
      </w:tr>
      <w:tr w:rsidR="00EB7BB4" w:rsidRPr="00222D45" w14:paraId="06EC1A8A" w14:textId="77777777" w:rsidTr="00EB7BB4">
        <w:trPr>
          <w:trHeight w:val="339"/>
        </w:trPr>
        <w:tc>
          <w:tcPr>
            <w:tcW w:w="14596" w:type="dxa"/>
            <w:gridSpan w:val="5"/>
            <w:shd w:val="clear" w:color="auto" w:fill="69CDE8"/>
          </w:tcPr>
          <w:p w14:paraId="5726CF50" w14:textId="29F63F7D" w:rsidR="00EB7BB4" w:rsidRPr="00222D45" w:rsidRDefault="0028264C" w:rsidP="00BA39D9">
            <w:pPr>
              <w:rPr>
                <w:rFonts w:ascii="Tondo" w:hAnsi="Tondo"/>
                <w:b/>
                <w:bCs/>
              </w:rPr>
            </w:pPr>
            <w:r>
              <w:rPr>
                <w:rFonts w:ascii="Tondo" w:hAnsi="Tondo"/>
                <w:b/>
                <w:bCs/>
              </w:rPr>
              <w:t>Summary</w:t>
            </w:r>
          </w:p>
        </w:tc>
      </w:tr>
      <w:tr w:rsidR="00EB7BB4" w:rsidRPr="00222D45" w14:paraId="15ED5219" w14:textId="77777777" w:rsidTr="00D80987">
        <w:tc>
          <w:tcPr>
            <w:tcW w:w="747" w:type="dxa"/>
            <w:shd w:val="clear" w:color="auto" w:fill="auto"/>
          </w:tcPr>
          <w:p w14:paraId="2AC2D7E2" w14:textId="66EE564E" w:rsidR="00EB7BB4" w:rsidRPr="00222D45" w:rsidRDefault="0028264C" w:rsidP="006D7EF5">
            <w:pPr>
              <w:jc w:val="center"/>
              <w:rPr>
                <w:rFonts w:ascii="Tondo" w:hAnsi="Tondo"/>
              </w:rPr>
            </w:pPr>
            <w:r>
              <w:rPr>
                <w:rFonts w:ascii="Tondo" w:hAnsi="Tondo"/>
              </w:rPr>
              <w:t>3</w:t>
            </w:r>
          </w:p>
        </w:tc>
        <w:tc>
          <w:tcPr>
            <w:tcW w:w="1944" w:type="dxa"/>
            <w:shd w:val="clear" w:color="auto" w:fill="auto"/>
          </w:tcPr>
          <w:p w14:paraId="0FE0B1FA" w14:textId="26FBE3CA" w:rsidR="00EB7BB4" w:rsidRPr="00222D45" w:rsidRDefault="0028264C" w:rsidP="006D7EF5">
            <w:pPr>
              <w:jc w:val="center"/>
              <w:rPr>
                <w:rFonts w:ascii="Tondo" w:hAnsi="Tondo"/>
              </w:rPr>
            </w:pPr>
            <w:r>
              <w:rPr>
                <w:rFonts w:ascii="Tondo" w:hAnsi="Tondo"/>
              </w:rPr>
              <w:t>First</w:t>
            </w:r>
          </w:p>
        </w:tc>
        <w:tc>
          <w:tcPr>
            <w:tcW w:w="5313" w:type="dxa"/>
            <w:shd w:val="clear" w:color="auto" w:fill="auto"/>
          </w:tcPr>
          <w:p w14:paraId="56EC7578" w14:textId="77777777" w:rsidR="00EB7BB4" w:rsidRDefault="0028264C" w:rsidP="00BA39D9">
            <w:pPr>
              <w:rPr>
                <w:rFonts w:ascii="Tondo" w:hAnsi="Tondo"/>
              </w:rPr>
            </w:pPr>
            <w:r>
              <w:rPr>
                <w:rFonts w:ascii="Tondo" w:hAnsi="Tondo"/>
              </w:rPr>
              <w:t>Added wording “and online” to the sentence looking at what the advice covers.  Now reads:</w:t>
            </w:r>
          </w:p>
          <w:p w14:paraId="3A187220" w14:textId="2A20BD8B" w:rsidR="0028264C" w:rsidRPr="00222D45" w:rsidRDefault="0028264C" w:rsidP="00BA39D9">
            <w:pPr>
              <w:rPr>
                <w:rFonts w:ascii="Tondo" w:hAnsi="Tondo"/>
              </w:rPr>
            </w:pPr>
            <w:r>
              <w:rPr>
                <w:rFonts w:ascii="Tondo" w:hAnsi="Tondo"/>
              </w:rPr>
              <w:t>“</w:t>
            </w:r>
            <w:r w:rsidRPr="0028264C">
              <w:rPr>
                <w:rFonts w:ascii="Tondo" w:hAnsi="Tondo"/>
              </w:rPr>
              <w:t>The advice covers children of all ages, from primary through to secondary stage and into colleges and online.</w:t>
            </w:r>
            <w:r>
              <w:rPr>
                <w:rFonts w:ascii="Tondo" w:hAnsi="Tondo"/>
              </w:rPr>
              <w:t>”</w:t>
            </w:r>
          </w:p>
        </w:tc>
        <w:tc>
          <w:tcPr>
            <w:tcW w:w="1622" w:type="dxa"/>
            <w:shd w:val="clear" w:color="auto" w:fill="auto"/>
          </w:tcPr>
          <w:p w14:paraId="56DF1934" w14:textId="62A4EDF9" w:rsidR="00EB7BB4" w:rsidRPr="00222D45" w:rsidRDefault="0028264C" w:rsidP="00BA39D9">
            <w:pPr>
              <w:rPr>
                <w:rFonts w:ascii="Tondo" w:hAnsi="Tondo"/>
              </w:rPr>
            </w:pPr>
            <w:r>
              <w:rPr>
                <w:rFonts w:ascii="Tondo" w:hAnsi="Tondo"/>
              </w:rPr>
              <w:t>Online safety</w:t>
            </w:r>
          </w:p>
        </w:tc>
        <w:tc>
          <w:tcPr>
            <w:tcW w:w="4970" w:type="dxa"/>
            <w:shd w:val="clear" w:color="auto" w:fill="auto"/>
          </w:tcPr>
          <w:p w14:paraId="47D6C917" w14:textId="349D8992" w:rsidR="00EB7BB4" w:rsidRPr="00222D45" w:rsidRDefault="0028264C" w:rsidP="00BA39D9">
            <w:pPr>
              <w:rPr>
                <w:rFonts w:ascii="Tondo" w:hAnsi="Tondo"/>
              </w:rPr>
            </w:pPr>
            <w:r>
              <w:rPr>
                <w:rFonts w:ascii="Tondo" w:hAnsi="Tondo"/>
              </w:rPr>
              <w:t>Although this could be considered a minor addition, this reinforces that there is no separation between real world and online lives for children and young people of any age.</w:t>
            </w:r>
          </w:p>
        </w:tc>
      </w:tr>
      <w:tr w:rsidR="00EB7BB4" w:rsidRPr="00222D45" w14:paraId="6189CA71" w14:textId="77777777" w:rsidTr="00D80987">
        <w:tc>
          <w:tcPr>
            <w:tcW w:w="747" w:type="dxa"/>
            <w:shd w:val="clear" w:color="auto" w:fill="auto"/>
          </w:tcPr>
          <w:p w14:paraId="4C733B49" w14:textId="1AB37923" w:rsidR="00EB7BB4" w:rsidRPr="00222D45" w:rsidRDefault="0028264C" w:rsidP="006D7EF5">
            <w:pPr>
              <w:jc w:val="center"/>
              <w:rPr>
                <w:rFonts w:ascii="Tondo" w:hAnsi="Tondo"/>
              </w:rPr>
            </w:pPr>
            <w:r>
              <w:rPr>
                <w:rFonts w:ascii="Tondo" w:hAnsi="Tondo"/>
              </w:rPr>
              <w:t>4</w:t>
            </w:r>
          </w:p>
        </w:tc>
        <w:tc>
          <w:tcPr>
            <w:tcW w:w="1944" w:type="dxa"/>
            <w:shd w:val="clear" w:color="auto" w:fill="auto"/>
          </w:tcPr>
          <w:p w14:paraId="7BB62DD1" w14:textId="3E61911F" w:rsidR="00EB7BB4" w:rsidRPr="00222D45" w:rsidRDefault="0028264C" w:rsidP="006D7EF5">
            <w:pPr>
              <w:jc w:val="center"/>
              <w:rPr>
                <w:rFonts w:ascii="Tondo" w:hAnsi="Tondo"/>
              </w:rPr>
            </w:pPr>
            <w:r>
              <w:rPr>
                <w:rFonts w:ascii="Tondo" w:hAnsi="Tondo"/>
              </w:rPr>
              <w:t>Other advice and guidance</w:t>
            </w:r>
          </w:p>
        </w:tc>
        <w:tc>
          <w:tcPr>
            <w:tcW w:w="5313" w:type="dxa"/>
            <w:shd w:val="clear" w:color="auto" w:fill="auto"/>
          </w:tcPr>
          <w:p w14:paraId="3877FB2C" w14:textId="2C51233E" w:rsidR="00EB7BB4" w:rsidRPr="00222D45" w:rsidRDefault="0028264C" w:rsidP="00BA39D9">
            <w:pPr>
              <w:rPr>
                <w:rFonts w:ascii="Tondo" w:hAnsi="Tondo"/>
              </w:rPr>
            </w:pPr>
            <w:r>
              <w:rPr>
                <w:rFonts w:ascii="Tondo" w:hAnsi="Tondo"/>
              </w:rPr>
              <w:t xml:space="preserve">This section which looks at the other relevant documentation has been expanded to include documents relating to mental health and the teaching of relationships, </w:t>
            </w:r>
            <w:proofErr w:type="gramStart"/>
            <w:r>
              <w:rPr>
                <w:rFonts w:ascii="Tondo" w:hAnsi="Tondo"/>
              </w:rPr>
              <w:t>sex</w:t>
            </w:r>
            <w:proofErr w:type="gramEnd"/>
            <w:r>
              <w:rPr>
                <w:rFonts w:ascii="Tondo" w:hAnsi="Tondo"/>
              </w:rPr>
              <w:t xml:space="preserve"> and health.</w:t>
            </w:r>
          </w:p>
        </w:tc>
        <w:tc>
          <w:tcPr>
            <w:tcW w:w="1622" w:type="dxa"/>
            <w:shd w:val="clear" w:color="auto" w:fill="auto"/>
          </w:tcPr>
          <w:p w14:paraId="6DEB97FB" w14:textId="1EB33C82" w:rsidR="00EB7BB4" w:rsidRPr="00222D45" w:rsidRDefault="0028264C" w:rsidP="00BA39D9">
            <w:pPr>
              <w:rPr>
                <w:rFonts w:ascii="Tondo" w:hAnsi="Tondo"/>
              </w:rPr>
            </w:pPr>
            <w:r>
              <w:rPr>
                <w:rFonts w:ascii="Tondo" w:hAnsi="Tondo"/>
              </w:rPr>
              <w:t>Guidance</w:t>
            </w:r>
          </w:p>
        </w:tc>
        <w:tc>
          <w:tcPr>
            <w:tcW w:w="4970" w:type="dxa"/>
            <w:shd w:val="clear" w:color="auto" w:fill="auto"/>
          </w:tcPr>
          <w:p w14:paraId="02325F97" w14:textId="77777777" w:rsidR="00EB7BB4" w:rsidRPr="00222D45" w:rsidRDefault="00EB7BB4" w:rsidP="00BA39D9">
            <w:pPr>
              <w:rPr>
                <w:rFonts w:ascii="Tondo" w:hAnsi="Tondo"/>
              </w:rPr>
            </w:pPr>
          </w:p>
        </w:tc>
      </w:tr>
      <w:tr w:rsidR="00F56EDC" w:rsidRPr="00222D45" w14:paraId="41E5B99C" w14:textId="77777777" w:rsidTr="00D80987">
        <w:tc>
          <w:tcPr>
            <w:tcW w:w="747" w:type="dxa"/>
            <w:shd w:val="clear" w:color="auto" w:fill="auto"/>
          </w:tcPr>
          <w:p w14:paraId="2D97AE37" w14:textId="3FC1C868" w:rsidR="00F56EDC" w:rsidRDefault="0028264C" w:rsidP="006D7EF5">
            <w:pPr>
              <w:jc w:val="center"/>
              <w:rPr>
                <w:rFonts w:ascii="Tondo" w:hAnsi="Tondo"/>
              </w:rPr>
            </w:pPr>
            <w:r>
              <w:rPr>
                <w:rFonts w:ascii="Tondo" w:hAnsi="Tondo"/>
              </w:rPr>
              <w:t>5</w:t>
            </w:r>
          </w:p>
        </w:tc>
        <w:tc>
          <w:tcPr>
            <w:tcW w:w="1944" w:type="dxa"/>
            <w:shd w:val="clear" w:color="auto" w:fill="auto"/>
          </w:tcPr>
          <w:p w14:paraId="2F033864" w14:textId="41AD972C" w:rsidR="00F56EDC" w:rsidRDefault="0028264C" w:rsidP="006D7EF5">
            <w:pPr>
              <w:jc w:val="center"/>
              <w:rPr>
                <w:rFonts w:ascii="Tondo" w:hAnsi="Tondo"/>
              </w:rPr>
            </w:pPr>
            <w:r>
              <w:rPr>
                <w:rFonts w:ascii="Tondo" w:hAnsi="Tondo"/>
              </w:rPr>
              <w:t>Victims and alleged perpetrators – paragraph 3</w:t>
            </w:r>
          </w:p>
        </w:tc>
        <w:tc>
          <w:tcPr>
            <w:tcW w:w="5313" w:type="dxa"/>
            <w:shd w:val="clear" w:color="auto" w:fill="auto"/>
          </w:tcPr>
          <w:p w14:paraId="299727F3" w14:textId="1DF02F9D" w:rsidR="00F56EDC" w:rsidRDefault="0028264C" w:rsidP="00BA39D9">
            <w:pPr>
              <w:rPr>
                <w:rFonts w:ascii="Tondo" w:hAnsi="Tondo"/>
              </w:rPr>
            </w:pPr>
            <w:r>
              <w:rPr>
                <w:rFonts w:ascii="Tondo" w:hAnsi="Tondo"/>
              </w:rPr>
              <w:t>The references have been changed to alleged perpetrator(s) (the previous document referred to perpetrator).  There is also additional recognition that the perpetrator may have suffered harm as well and that this needs to be considered when talking about terminology.</w:t>
            </w:r>
          </w:p>
        </w:tc>
        <w:tc>
          <w:tcPr>
            <w:tcW w:w="1622" w:type="dxa"/>
            <w:shd w:val="clear" w:color="auto" w:fill="auto"/>
          </w:tcPr>
          <w:p w14:paraId="26E46407" w14:textId="135519AF" w:rsidR="00F56EDC" w:rsidRPr="00222D45" w:rsidRDefault="0028264C" w:rsidP="00BA39D9">
            <w:pPr>
              <w:rPr>
                <w:rFonts w:ascii="Tondo" w:hAnsi="Tondo"/>
              </w:rPr>
            </w:pPr>
            <w:r>
              <w:rPr>
                <w:rFonts w:ascii="Tondo" w:hAnsi="Tondo"/>
              </w:rPr>
              <w:t>Terminology</w:t>
            </w:r>
          </w:p>
        </w:tc>
        <w:tc>
          <w:tcPr>
            <w:tcW w:w="4970" w:type="dxa"/>
            <w:shd w:val="clear" w:color="auto" w:fill="auto"/>
          </w:tcPr>
          <w:p w14:paraId="22DE36B6" w14:textId="3F868B92" w:rsidR="005339E6" w:rsidRPr="00EF7C67" w:rsidRDefault="0028264C" w:rsidP="00EF7C67">
            <w:pPr>
              <w:rPr>
                <w:rFonts w:ascii="Tondo" w:hAnsi="Tondo"/>
              </w:rPr>
            </w:pPr>
            <w:r>
              <w:rPr>
                <w:rFonts w:ascii="Tondo" w:hAnsi="Tondo"/>
              </w:rPr>
              <w:t>These changes recognise that there can be more than one perpetrator, but also that there is a need to consider the reasons for the perpetrators behaviour and reinforcing the need to ask the question as to whether they are also a victim.</w:t>
            </w:r>
          </w:p>
        </w:tc>
      </w:tr>
    </w:tbl>
    <w:p w14:paraId="3A642729" w14:textId="77777777" w:rsidR="00636AF0" w:rsidRDefault="00636AF0">
      <w:r>
        <w:br w:type="page"/>
      </w:r>
    </w:p>
    <w:tbl>
      <w:tblPr>
        <w:tblStyle w:val="TableGrid"/>
        <w:tblW w:w="14596" w:type="dxa"/>
        <w:tblLook w:val="04A0" w:firstRow="1" w:lastRow="0" w:firstColumn="1" w:lastColumn="0" w:noHBand="0" w:noVBand="1"/>
      </w:tblPr>
      <w:tblGrid>
        <w:gridCol w:w="747"/>
        <w:gridCol w:w="1944"/>
        <w:gridCol w:w="5313"/>
        <w:gridCol w:w="1622"/>
        <w:gridCol w:w="4970"/>
      </w:tblGrid>
      <w:tr w:rsidR="00EB7BB4" w:rsidRPr="00222D45" w14:paraId="6924516B" w14:textId="77777777" w:rsidTr="00EB7BB4">
        <w:tc>
          <w:tcPr>
            <w:tcW w:w="14596" w:type="dxa"/>
            <w:gridSpan w:val="5"/>
            <w:shd w:val="clear" w:color="auto" w:fill="69CDE8"/>
          </w:tcPr>
          <w:p w14:paraId="7E283FCB" w14:textId="6FF58E62" w:rsidR="00EB7BB4" w:rsidRPr="00222D45" w:rsidRDefault="00EB7BB4" w:rsidP="00BA39D9">
            <w:pPr>
              <w:rPr>
                <w:rFonts w:ascii="Tondo" w:hAnsi="Tondo"/>
                <w:b/>
                <w:bCs/>
              </w:rPr>
            </w:pPr>
            <w:r w:rsidRPr="00222D45">
              <w:rPr>
                <w:rFonts w:ascii="Tondo" w:hAnsi="Tondo"/>
                <w:b/>
                <w:bCs/>
              </w:rPr>
              <w:t>Part One</w:t>
            </w:r>
            <w:r w:rsidR="00BE3D2E">
              <w:rPr>
                <w:rFonts w:ascii="Tondo" w:hAnsi="Tondo"/>
                <w:b/>
                <w:bCs/>
              </w:rPr>
              <w:t xml:space="preserve">: </w:t>
            </w:r>
            <w:r w:rsidR="00C70C5A" w:rsidRPr="00C70C5A">
              <w:rPr>
                <w:rFonts w:ascii="Tondo" w:hAnsi="Tondo"/>
                <w:b/>
                <w:bCs/>
              </w:rPr>
              <w:t>What do we mean by sexual violence and sexual harassment between children?</w:t>
            </w:r>
          </w:p>
        </w:tc>
      </w:tr>
      <w:tr w:rsidR="00EB7BB4" w:rsidRPr="00222D45" w14:paraId="766FF312" w14:textId="77777777" w:rsidTr="00D80987">
        <w:tc>
          <w:tcPr>
            <w:tcW w:w="747" w:type="dxa"/>
            <w:shd w:val="clear" w:color="auto" w:fill="auto"/>
          </w:tcPr>
          <w:p w14:paraId="31546DAF" w14:textId="28BFA8DF" w:rsidR="00EB7BB4" w:rsidRPr="00222D45" w:rsidRDefault="00C70C5A" w:rsidP="006D7EF5">
            <w:pPr>
              <w:jc w:val="center"/>
              <w:rPr>
                <w:rFonts w:ascii="Tondo" w:hAnsi="Tondo"/>
              </w:rPr>
            </w:pPr>
            <w:r>
              <w:rPr>
                <w:rFonts w:ascii="Tondo" w:hAnsi="Tondo"/>
              </w:rPr>
              <w:t>6</w:t>
            </w:r>
          </w:p>
        </w:tc>
        <w:tc>
          <w:tcPr>
            <w:tcW w:w="1944" w:type="dxa"/>
            <w:shd w:val="clear" w:color="auto" w:fill="auto"/>
          </w:tcPr>
          <w:p w14:paraId="0F009710" w14:textId="5BBE4355" w:rsidR="00EB7BB4" w:rsidRPr="00222D45" w:rsidRDefault="00C70C5A" w:rsidP="006D7EF5">
            <w:pPr>
              <w:jc w:val="center"/>
              <w:rPr>
                <w:rFonts w:ascii="Tondo" w:hAnsi="Tondo"/>
              </w:rPr>
            </w:pPr>
            <w:r>
              <w:rPr>
                <w:rFonts w:ascii="Tondo" w:hAnsi="Tondo"/>
              </w:rPr>
              <w:t>1</w:t>
            </w:r>
          </w:p>
        </w:tc>
        <w:tc>
          <w:tcPr>
            <w:tcW w:w="5313" w:type="dxa"/>
            <w:shd w:val="clear" w:color="auto" w:fill="auto"/>
          </w:tcPr>
          <w:p w14:paraId="2D373AB4" w14:textId="77777777" w:rsidR="00EB7BB4" w:rsidRDefault="00C70C5A" w:rsidP="00BA39D9">
            <w:pPr>
              <w:rPr>
                <w:rFonts w:ascii="Tondo" w:hAnsi="Tondo"/>
              </w:rPr>
            </w:pPr>
            <w:r>
              <w:rPr>
                <w:rFonts w:ascii="Tondo" w:hAnsi="Tondo"/>
              </w:rPr>
              <w:t>The wording of the paragraph has been altered with two specific additions:</w:t>
            </w:r>
          </w:p>
          <w:p w14:paraId="0F9C6A3F" w14:textId="77777777" w:rsidR="00C70C5A" w:rsidRDefault="00C70C5A" w:rsidP="00C70C5A">
            <w:pPr>
              <w:pStyle w:val="ListParagraph"/>
              <w:numPr>
                <w:ilvl w:val="0"/>
                <w:numId w:val="33"/>
              </w:numPr>
              <w:rPr>
                <w:rFonts w:ascii="Tondo" w:hAnsi="Tondo"/>
              </w:rPr>
            </w:pPr>
            <w:r>
              <w:rPr>
                <w:rFonts w:ascii="Tondo" w:hAnsi="Tondo"/>
              </w:rPr>
              <w:t xml:space="preserve">Adding of wording that reinforces </w:t>
            </w:r>
            <w:proofErr w:type="gramStart"/>
            <w:r>
              <w:rPr>
                <w:rFonts w:ascii="Tondo" w:hAnsi="Tondo"/>
              </w:rPr>
              <w:t>that children</w:t>
            </w:r>
            <w:proofErr w:type="gramEnd"/>
            <w:r>
              <w:rPr>
                <w:rFonts w:ascii="Tondo" w:hAnsi="Tondo"/>
              </w:rPr>
              <w:t xml:space="preserve"> in any setting (primary, secondary and colleges) can be involved in sexual violence and sexual harassment.</w:t>
            </w:r>
          </w:p>
          <w:p w14:paraId="24AFF50A" w14:textId="46E929F0" w:rsidR="00C70C5A" w:rsidRPr="00C70C5A" w:rsidRDefault="00C70C5A" w:rsidP="00C70C5A">
            <w:pPr>
              <w:pStyle w:val="ListParagraph"/>
              <w:numPr>
                <w:ilvl w:val="0"/>
                <w:numId w:val="33"/>
              </w:numPr>
              <w:rPr>
                <w:rFonts w:ascii="Tondo" w:hAnsi="Tondo"/>
              </w:rPr>
            </w:pPr>
            <w:r>
              <w:rPr>
                <w:rFonts w:ascii="Tondo" w:hAnsi="Tondo"/>
              </w:rPr>
              <w:t xml:space="preserve">Reinforcing the theme from </w:t>
            </w:r>
            <w:proofErr w:type="spellStart"/>
            <w:r>
              <w:rPr>
                <w:rFonts w:ascii="Tondo" w:hAnsi="Tondo"/>
              </w:rPr>
              <w:t>KCSiE</w:t>
            </w:r>
            <w:proofErr w:type="spellEnd"/>
            <w:r>
              <w:rPr>
                <w:rFonts w:ascii="Tondo" w:hAnsi="Tondo"/>
              </w:rPr>
              <w:t xml:space="preserve"> 2021 that there needs to be an attitude from all staff of “it could happen around here”.</w:t>
            </w:r>
          </w:p>
        </w:tc>
        <w:tc>
          <w:tcPr>
            <w:tcW w:w="1622" w:type="dxa"/>
            <w:shd w:val="clear" w:color="auto" w:fill="auto"/>
          </w:tcPr>
          <w:p w14:paraId="0D584B44" w14:textId="1B11C903" w:rsidR="00EB7BB4" w:rsidRPr="00222D45" w:rsidRDefault="00C70C5A" w:rsidP="00BA39D9">
            <w:pPr>
              <w:rPr>
                <w:rFonts w:ascii="Tondo" w:hAnsi="Tondo"/>
              </w:rPr>
            </w:pPr>
            <w:r>
              <w:rPr>
                <w:rFonts w:ascii="Tondo" w:hAnsi="Tondo"/>
              </w:rPr>
              <w:t>General</w:t>
            </w:r>
          </w:p>
        </w:tc>
        <w:tc>
          <w:tcPr>
            <w:tcW w:w="4970" w:type="dxa"/>
            <w:shd w:val="clear" w:color="auto" w:fill="auto"/>
          </w:tcPr>
          <w:p w14:paraId="0F4C1FE3" w14:textId="353A0E43" w:rsidR="00EB7BB4" w:rsidRPr="00222D45" w:rsidRDefault="00EB7BB4" w:rsidP="00BA39D9">
            <w:pPr>
              <w:rPr>
                <w:rFonts w:ascii="Tondo" w:hAnsi="Tondo"/>
              </w:rPr>
            </w:pPr>
          </w:p>
        </w:tc>
      </w:tr>
      <w:tr w:rsidR="00EB7BB4" w:rsidRPr="00222D45" w14:paraId="2EF960EF" w14:textId="77777777" w:rsidTr="00D80987">
        <w:tc>
          <w:tcPr>
            <w:tcW w:w="747" w:type="dxa"/>
            <w:shd w:val="clear" w:color="auto" w:fill="auto"/>
          </w:tcPr>
          <w:p w14:paraId="3FCCEECD" w14:textId="14594319" w:rsidR="00EB7BB4" w:rsidRPr="00222D45" w:rsidRDefault="00C70C5A" w:rsidP="006D7EF5">
            <w:pPr>
              <w:jc w:val="center"/>
              <w:rPr>
                <w:rFonts w:ascii="Tondo" w:hAnsi="Tondo"/>
              </w:rPr>
            </w:pPr>
            <w:r>
              <w:rPr>
                <w:rFonts w:ascii="Tondo" w:hAnsi="Tondo"/>
              </w:rPr>
              <w:t>6</w:t>
            </w:r>
          </w:p>
        </w:tc>
        <w:tc>
          <w:tcPr>
            <w:tcW w:w="1944" w:type="dxa"/>
            <w:shd w:val="clear" w:color="auto" w:fill="auto"/>
          </w:tcPr>
          <w:p w14:paraId="33F212A7" w14:textId="3F6FC2BD" w:rsidR="00EB7BB4" w:rsidRPr="00222D45" w:rsidRDefault="00C70C5A" w:rsidP="006D7EF5">
            <w:pPr>
              <w:jc w:val="center"/>
              <w:rPr>
                <w:rFonts w:ascii="Tondo" w:hAnsi="Tondo"/>
              </w:rPr>
            </w:pPr>
            <w:r>
              <w:rPr>
                <w:rFonts w:ascii="Tondo" w:hAnsi="Tondo"/>
              </w:rPr>
              <w:t>2</w:t>
            </w:r>
          </w:p>
        </w:tc>
        <w:tc>
          <w:tcPr>
            <w:tcW w:w="5313" w:type="dxa"/>
            <w:shd w:val="clear" w:color="auto" w:fill="auto"/>
          </w:tcPr>
          <w:p w14:paraId="217983FA" w14:textId="77777777" w:rsidR="00EB7BB4" w:rsidRDefault="00C70C5A" w:rsidP="00BA39D9">
            <w:pPr>
              <w:rPr>
                <w:rFonts w:ascii="Tondo" w:hAnsi="Tondo"/>
              </w:rPr>
            </w:pPr>
            <w:r>
              <w:rPr>
                <w:rFonts w:ascii="Tondo" w:hAnsi="Tondo"/>
              </w:rPr>
              <w:t xml:space="preserve">New paragraph reinforcing the zero-tolerance approach introduced by </w:t>
            </w:r>
            <w:proofErr w:type="spellStart"/>
            <w:r>
              <w:rPr>
                <w:rFonts w:ascii="Tondo" w:hAnsi="Tondo"/>
              </w:rPr>
              <w:t>KCSiE</w:t>
            </w:r>
            <w:proofErr w:type="spellEnd"/>
            <w:r>
              <w:rPr>
                <w:rFonts w:ascii="Tondo" w:hAnsi="Tondo"/>
              </w:rPr>
              <w:t xml:space="preserve"> 2021.</w:t>
            </w:r>
          </w:p>
          <w:p w14:paraId="68C264E3" w14:textId="65BBE91C" w:rsidR="00C70C5A" w:rsidRPr="00222D45" w:rsidRDefault="00C70C5A" w:rsidP="00C70C5A">
            <w:pPr>
              <w:rPr>
                <w:rFonts w:ascii="Tondo" w:hAnsi="Tondo"/>
              </w:rPr>
            </w:pPr>
            <w:r>
              <w:rPr>
                <w:rFonts w:ascii="Tondo" w:hAnsi="Tondo"/>
              </w:rPr>
              <w:t>“</w:t>
            </w:r>
            <w:r w:rsidRPr="00C70C5A">
              <w:rPr>
                <w:rFonts w:ascii="Tondo" w:hAnsi="Tondo"/>
              </w:rPr>
              <w:t>Addressing inappropriate behaviour (even if it appears to be relatively innocuous)</w:t>
            </w:r>
            <w:r>
              <w:rPr>
                <w:rFonts w:ascii="Tondo" w:hAnsi="Tondo"/>
              </w:rPr>
              <w:t xml:space="preserve"> </w:t>
            </w:r>
            <w:r w:rsidRPr="00C70C5A">
              <w:rPr>
                <w:rFonts w:ascii="Tondo" w:hAnsi="Tondo"/>
                <w:b/>
                <w:bCs/>
              </w:rPr>
              <w:t>can</w:t>
            </w:r>
            <w:r w:rsidRPr="00C70C5A">
              <w:rPr>
                <w:rFonts w:ascii="Tondo" w:hAnsi="Tondo"/>
              </w:rPr>
              <w:t xml:space="preserve"> be an important intervention that helps </w:t>
            </w:r>
            <w:proofErr w:type="gramStart"/>
            <w:r w:rsidRPr="00C70C5A">
              <w:rPr>
                <w:rFonts w:ascii="Tondo" w:hAnsi="Tondo"/>
              </w:rPr>
              <w:t xml:space="preserve">prevent </w:t>
            </w:r>
            <w:r>
              <w:rPr>
                <w:rFonts w:ascii="Tondo" w:hAnsi="Tondo"/>
              </w:rPr>
              <w:t xml:space="preserve"> p</w:t>
            </w:r>
            <w:r w:rsidRPr="00C70C5A">
              <w:rPr>
                <w:rFonts w:ascii="Tondo" w:hAnsi="Tondo"/>
              </w:rPr>
              <w:t>roblematic</w:t>
            </w:r>
            <w:proofErr w:type="gramEnd"/>
            <w:r w:rsidRPr="00C70C5A">
              <w:rPr>
                <w:rFonts w:ascii="Tondo" w:hAnsi="Tondo"/>
              </w:rPr>
              <w:t>, abusive and/or violent</w:t>
            </w:r>
            <w:r>
              <w:rPr>
                <w:rFonts w:ascii="Tondo" w:hAnsi="Tondo"/>
              </w:rPr>
              <w:t xml:space="preserve"> </w:t>
            </w:r>
            <w:r w:rsidRPr="00C70C5A">
              <w:rPr>
                <w:rFonts w:ascii="Tondo" w:hAnsi="Tondo"/>
              </w:rPr>
              <w:t>behaviour in the future</w:t>
            </w:r>
            <w:r>
              <w:rPr>
                <w:rFonts w:ascii="Tondo" w:hAnsi="Tondo"/>
              </w:rPr>
              <w:t>.”</w:t>
            </w:r>
          </w:p>
        </w:tc>
        <w:tc>
          <w:tcPr>
            <w:tcW w:w="1622" w:type="dxa"/>
            <w:shd w:val="clear" w:color="auto" w:fill="auto"/>
          </w:tcPr>
          <w:p w14:paraId="04A5389A" w14:textId="15E15304" w:rsidR="00EB7BB4" w:rsidRPr="00222D45" w:rsidRDefault="00C70C5A" w:rsidP="00BA39D9">
            <w:pPr>
              <w:rPr>
                <w:rFonts w:ascii="Tondo" w:hAnsi="Tondo"/>
              </w:rPr>
            </w:pPr>
            <w:r>
              <w:rPr>
                <w:rFonts w:ascii="Tondo" w:hAnsi="Tondo"/>
              </w:rPr>
              <w:t>Zero tolerance</w:t>
            </w:r>
          </w:p>
        </w:tc>
        <w:tc>
          <w:tcPr>
            <w:tcW w:w="4970" w:type="dxa"/>
            <w:shd w:val="clear" w:color="auto" w:fill="auto"/>
          </w:tcPr>
          <w:p w14:paraId="51792125" w14:textId="617E1BBE" w:rsidR="00EB7BB4" w:rsidRPr="00222D45" w:rsidRDefault="00EB7BB4" w:rsidP="00BA39D9">
            <w:pPr>
              <w:rPr>
                <w:rFonts w:ascii="Tondo" w:hAnsi="Tondo"/>
              </w:rPr>
            </w:pPr>
          </w:p>
        </w:tc>
      </w:tr>
      <w:tr w:rsidR="00EB7BB4" w:rsidRPr="00222D45" w14:paraId="29FA9E80" w14:textId="77777777" w:rsidTr="00D80987">
        <w:tc>
          <w:tcPr>
            <w:tcW w:w="747" w:type="dxa"/>
            <w:shd w:val="clear" w:color="auto" w:fill="auto"/>
          </w:tcPr>
          <w:p w14:paraId="30087828" w14:textId="003A8DDC" w:rsidR="00EB7BB4" w:rsidRPr="00222D45" w:rsidRDefault="00C70C5A" w:rsidP="006D7EF5">
            <w:pPr>
              <w:jc w:val="center"/>
              <w:rPr>
                <w:rFonts w:ascii="Tondo" w:hAnsi="Tondo"/>
              </w:rPr>
            </w:pPr>
            <w:r>
              <w:rPr>
                <w:rFonts w:ascii="Tondo" w:hAnsi="Tondo"/>
              </w:rPr>
              <w:t>6</w:t>
            </w:r>
          </w:p>
        </w:tc>
        <w:tc>
          <w:tcPr>
            <w:tcW w:w="1944" w:type="dxa"/>
            <w:shd w:val="clear" w:color="auto" w:fill="auto"/>
          </w:tcPr>
          <w:p w14:paraId="4FF66D5F" w14:textId="6160D662" w:rsidR="00EB7BB4" w:rsidRPr="00222D45" w:rsidRDefault="00C70C5A" w:rsidP="006D7EF5">
            <w:pPr>
              <w:jc w:val="center"/>
              <w:rPr>
                <w:rFonts w:ascii="Tondo" w:hAnsi="Tondo"/>
              </w:rPr>
            </w:pPr>
            <w:r>
              <w:rPr>
                <w:rFonts w:ascii="Tondo" w:hAnsi="Tondo"/>
              </w:rPr>
              <w:t>3</w:t>
            </w:r>
          </w:p>
        </w:tc>
        <w:tc>
          <w:tcPr>
            <w:tcW w:w="5313" w:type="dxa"/>
            <w:shd w:val="clear" w:color="auto" w:fill="auto"/>
          </w:tcPr>
          <w:p w14:paraId="3BCEC35B" w14:textId="25536AB0" w:rsidR="00EB7BB4" w:rsidRPr="00222D45" w:rsidRDefault="00C70C5A" w:rsidP="00BA39D9">
            <w:pPr>
              <w:rPr>
                <w:rFonts w:ascii="Tondo" w:hAnsi="Tondo"/>
              </w:rPr>
            </w:pPr>
            <w:r>
              <w:rPr>
                <w:rFonts w:ascii="Tondo" w:hAnsi="Tondo"/>
              </w:rPr>
              <w:t>Wording added to emphasise that there is a need to be aware that safeguarding incidents can be linked to things that are happening outside of the setting but having an impact on individuals in the setting.</w:t>
            </w:r>
          </w:p>
        </w:tc>
        <w:tc>
          <w:tcPr>
            <w:tcW w:w="1622" w:type="dxa"/>
            <w:shd w:val="clear" w:color="auto" w:fill="auto"/>
          </w:tcPr>
          <w:p w14:paraId="06295ED7" w14:textId="5BB04D69" w:rsidR="00EB7BB4" w:rsidRPr="00222D45" w:rsidRDefault="00C70C5A" w:rsidP="00BA39D9">
            <w:pPr>
              <w:rPr>
                <w:rFonts w:ascii="Tondo" w:hAnsi="Tondo"/>
              </w:rPr>
            </w:pPr>
            <w:r>
              <w:rPr>
                <w:rFonts w:ascii="Tondo" w:hAnsi="Tondo"/>
              </w:rPr>
              <w:t>Contextual safeguarding</w:t>
            </w:r>
          </w:p>
        </w:tc>
        <w:tc>
          <w:tcPr>
            <w:tcW w:w="4970" w:type="dxa"/>
            <w:shd w:val="clear" w:color="auto" w:fill="auto"/>
          </w:tcPr>
          <w:p w14:paraId="7C281D57" w14:textId="501C925C" w:rsidR="00EB7BB4" w:rsidRPr="00222D45" w:rsidRDefault="00EB7BB4" w:rsidP="00BA39D9">
            <w:pPr>
              <w:rPr>
                <w:rFonts w:ascii="Tondo" w:hAnsi="Tondo"/>
              </w:rPr>
            </w:pPr>
          </w:p>
        </w:tc>
      </w:tr>
      <w:tr w:rsidR="00EB7BB4" w:rsidRPr="00222D45" w14:paraId="5F29E989" w14:textId="77777777" w:rsidTr="00D80987">
        <w:tc>
          <w:tcPr>
            <w:tcW w:w="747" w:type="dxa"/>
            <w:shd w:val="clear" w:color="auto" w:fill="auto"/>
          </w:tcPr>
          <w:p w14:paraId="0E9F4CC6" w14:textId="0C30A65A" w:rsidR="00EB7BB4" w:rsidRPr="00222D45" w:rsidRDefault="00C70C5A" w:rsidP="006D7EF5">
            <w:pPr>
              <w:jc w:val="center"/>
              <w:rPr>
                <w:rFonts w:ascii="Tondo" w:hAnsi="Tondo"/>
              </w:rPr>
            </w:pPr>
            <w:r>
              <w:rPr>
                <w:rFonts w:ascii="Tondo" w:hAnsi="Tondo"/>
              </w:rPr>
              <w:t>6</w:t>
            </w:r>
          </w:p>
        </w:tc>
        <w:tc>
          <w:tcPr>
            <w:tcW w:w="1944" w:type="dxa"/>
            <w:shd w:val="clear" w:color="auto" w:fill="auto"/>
          </w:tcPr>
          <w:p w14:paraId="10510B38" w14:textId="366330FE" w:rsidR="00EB7BB4" w:rsidRPr="00222D45" w:rsidRDefault="00C70C5A" w:rsidP="006D7EF5">
            <w:pPr>
              <w:jc w:val="center"/>
              <w:rPr>
                <w:rFonts w:ascii="Tondo" w:hAnsi="Tondo"/>
              </w:rPr>
            </w:pPr>
            <w:r>
              <w:rPr>
                <w:rFonts w:ascii="Tondo" w:hAnsi="Tondo"/>
              </w:rPr>
              <w:t>4-5</w:t>
            </w:r>
          </w:p>
        </w:tc>
        <w:tc>
          <w:tcPr>
            <w:tcW w:w="5313" w:type="dxa"/>
            <w:shd w:val="clear" w:color="auto" w:fill="auto"/>
          </w:tcPr>
          <w:p w14:paraId="10281B2B" w14:textId="5CF219B6" w:rsidR="00EB7BB4" w:rsidRPr="00222D45" w:rsidRDefault="00C70C5A" w:rsidP="00C70C5A">
            <w:pPr>
              <w:rPr>
                <w:rFonts w:ascii="Tondo" w:hAnsi="Tondo"/>
              </w:rPr>
            </w:pPr>
            <w:r>
              <w:rPr>
                <w:rFonts w:ascii="Tondo" w:hAnsi="Tondo"/>
              </w:rPr>
              <w:t xml:space="preserve">These new paragraphs set out the expectation that victims and perpetrators are supported and kept safe (as well as disciplining perpetrators if required).  Paragraph 4 reinforces the position in </w:t>
            </w:r>
            <w:proofErr w:type="spellStart"/>
            <w:r>
              <w:rPr>
                <w:rFonts w:ascii="Tondo" w:hAnsi="Tondo"/>
              </w:rPr>
              <w:t>KCSiE</w:t>
            </w:r>
            <w:proofErr w:type="spellEnd"/>
            <w:r>
              <w:rPr>
                <w:rFonts w:ascii="Tondo" w:hAnsi="Tondo"/>
              </w:rPr>
              <w:t xml:space="preserve"> 2021 that “</w:t>
            </w:r>
            <w:r w:rsidRPr="00C70C5A">
              <w:rPr>
                <w:rFonts w:ascii="Tondo" w:hAnsi="Tondo"/>
              </w:rPr>
              <w:t>A victim should never be given</w:t>
            </w:r>
            <w:r>
              <w:rPr>
                <w:rFonts w:ascii="Tondo" w:hAnsi="Tondo"/>
              </w:rPr>
              <w:t xml:space="preserve"> </w:t>
            </w:r>
            <w:r w:rsidRPr="00C70C5A">
              <w:rPr>
                <w:rFonts w:ascii="Tondo" w:hAnsi="Tondo"/>
              </w:rPr>
              <w:t>the impression that they are creating a problem by reporting sexual violence or sexual</w:t>
            </w:r>
            <w:r>
              <w:rPr>
                <w:rFonts w:ascii="Tondo" w:hAnsi="Tondo"/>
              </w:rPr>
              <w:t xml:space="preserve"> </w:t>
            </w:r>
            <w:r w:rsidRPr="00C70C5A">
              <w:rPr>
                <w:rFonts w:ascii="Tondo" w:hAnsi="Tondo"/>
              </w:rPr>
              <w:t>harassment. Nor should a victim ever me made to feel ashamed for making a report.</w:t>
            </w:r>
            <w:r>
              <w:rPr>
                <w:rFonts w:ascii="Tondo" w:hAnsi="Tondo"/>
              </w:rPr>
              <w:t>”</w:t>
            </w:r>
          </w:p>
        </w:tc>
        <w:tc>
          <w:tcPr>
            <w:tcW w:w="1622" w:type="dxa"/>
            <w:shd w:val="clear" w:color="auto" w:fill="auto"/>
          </w:tcPr>
          <w:p w14:paraId="6DA70075" w14:textId="1159CD64" w:rsidR="00EB7BB4" w:rsidRPr="00222D45" w:rsidRDefault="00C70C5A" w:rsidP="00BA39D9">
            <w:pPr>
              <w:rPr>
                <w:rFonts w:ascii="Tondo" w:hAnsi="Tondo"/>
              </w:rPr>
            </w:pPr>
            <w:r>
              <w:rPr>
                <w:rFonts w:ascii="Tondo" w:hAnsi="Tondo"/>
              </w:rPr>
              <w:t>Support to individuals involved</w:t>
            </w:r>
          </w:p>
        </w:tc>
        <w:tc>
          <w:tcPr>
            <w:tcW w:w="4970" w:type="dxa"/>
            <w:shd w:val="clear" w:color="auto" w:fill="auto"/>
          </w:tcPr>
          <w:p w14:paraId="3AC97F6A" w14:textId="6188565E" w:rsidR="00EB7BB4" w:rsidRPr="00222D45" w:rsidRDefault="00EB7BB4" w:rsidP="00BA39D9">
            <w:pPr>
              <w:rPr>
                <w:rFonts w:ascii="Tondo" w:hAnsi="Tondo"/>
              </w:rPr>
            </w:pPr>
          </w:p>
        </w:tc>
      </w:tr>
      <w:tr w:rsidR="00E90A17" w:rsidRPr="00222D45" w14:paraId="3EC38CDF" w14:textId="77777777" w:rsidTr="00D80987">
        <w:tc>
          <w:tcPr>
            <w:tcW w:w="747" w:type="dxa"/>
            <w:shd w:val="clear" w:color="auto" w:fill="auto"/>
          </w:tcPr>
          <w:p w14:paraId="027BE5BB" w14:textId="3D2936F7" w:rsidR="00E90A17" w:rsidRDefault="00C70C5A" w:rsidP="006D7EF5">
            <w:pPr>
              <w:jc w:val="center"/>
              <w:rPr>
                <w:rFonts w:ascii="Tondo" w:hAnsi="Tondo"/>
              </w:rPr>
            </w:pPr>
            <w:r>
              <w:rPr>
                <w:rFonts w:ascii="Tondo" w:hAnsi="Tondo"/>
              </w:rPr>
              <w:t>7</w:t>
            </w:r>
          </w:p>
        </w:tc>
        <w:tc>
          <w:tcPr>
            <w:tcW w:w="1944" w:type="dxa"/>
            <w:shd w:val="clear" w:color="auto" w:fill="auto"/>
          </w:tcPr>
          <w:p w14:paraId="6628F38C" w14:textId="712E8010" w:rsidR="00E90A17" w:rsidRDefault="00C70C5A" w:rsidP="006D7EF5">
            <w:pPr>
              <w:jc w:val="center"/>
              <w:rPr>
                <w:rFonts w:ascii="Tondo" w:hAnsi="Tondo"/>
              </w:rPr>
            </w:pPr>
            <w:r>
              <w:rPr>
                <w:rFonts w:ascii="Tondo" w:hAnsi="Tondo"/>
              </w:rPr>
              <w:t>7</w:t>
            </w:r>
          </w:p>
        </w:tc>
        <w:tc>
          <w:tcPr>
            <w:tcW w:w="5313" w:type="dxa"/>
            <w:shd w:val="clear" w:color="auto" w:fill="auto"/>
          </w:tcPr>
          <w:p w14:paraId="4C14400A" w14:textId="7854FD4B" w:rsidR="00E90A17" w:rsidRDefault="00C70C5A" w:rsidP="00BA39D9">
            <w:pPr>
              <w:rPr>
                <w:rFonts w:ascii="Tondo" w:hAnsi="Tondo"/>
              </w:rPr>
            </w:pPr>
            <w:r>
              <w:rPr>
                <w:rFonts w:ascii="Tondo" w:hAnsi="Tondo"/>
              </w:rPr>
              <w:t>The evidence base for the guidance has been updated to reflect more recent guidance and research.</w:t>
            </w:r>
          </w:p>
        </w:tc>
        <w:tc>
          <w:tcPr>
            <w:tcW w:w="1622" w:type="dxa"/>
            <w:shd w:val="clear" w:color="auto" w:fill="auto"/>
          </w:tcPr>
          <w:p w14:paraId="3FE9ABFB" w14:textId="721286BD" w:rsidR="00E90A17" w:rsidRDefault="0057001A" w:rsidP="00BA39D9">
            <w:pPr>
              <w:rPr>
                <w:rFonts w:ascii="Tondo" w:hAnsi="Tondo"/>
              </w:rPr>
            </w:pPr>
            <w:r>
              <w:rPr>
                <w:rFonts w:ascii="Tondo" w:hAnsi="Tondo"/>
              </w:rPr>
              <w:t>Supporting information</w:t>
            </w:r>
          </w:p>
        </w:tc>
        <w:tc>
          <w:tcPr>
            <w:tcW w:w="4970" w:type="dxa"/>
            <w:shd w:val="clear" w:color="auto" w:fill="auto"/>
          </w:tcPr>
          <w:p w14:paraId="027788B1" w14:textId="51EF7B7E" w:rsidR="00E90A17" w:rsidRDefault="00E90A17" w:rsidP="00BA39D9">
            <w:pPr>
              <w:rPr>
                <w:rFonts w:ascii="Tondo" w:hAnsi="Tondo"/>
              </w:rPr>
            </w:pPr>
          </w:p>
        </w:tc>
      </w:tr>
      <w:tr w:rsidR="00EB7BB4" w:rsidRPr="00222D45" w14:paraId="54A81CD0" w14:textId="77777777" w:rsidTr="00D80987">
        <w:tc>
          <w:tcPr>
            <w:tcW w:w="747" w:type="dxa"/>
            <w:shd w:val="clear" w:color="auto" w:fill="auto"/>
          </w:tcPr>
          <w:p w14:paraId="65F1196A" w14:textId="4BC7E690" w:rsidR="00EB7BB4" w:rsidRPr="00222D45" w:rsidRDefault="0057001A" w:rsidP="006D7EF5">
            <w:pPr>
              <w:jc w:val="center"/>
              <w:rPr>
                <w:rFonts w:ascii="Tondo" w:hAnsi="Tondo"/>
              </w:rPr>
            </w:pPr>
            <w:r>
              <w:rPr>
                <w:rFonts w:ascii="Tondo" w:hAnsi="Tondo"/>
              </w:rPr>
              <w:t>9</w:t>
            </w:r>
          </w:p>
        </w:tc>
        <w:tc>
          <w:tcPr>
            <w:tcW w:w="1944" w:type="dxa"/>
            <w:shd w:val="clear" w:color="auto" w:fill="auto"/>
          </w:tcPr>
          <w:p w14:paraId="6D68DFE1" w14:textId="4EE4FD5A" w:rsidR="00EB7BB4" w:rsidRPr="00222D45" w:rsidRDefault="0057001A" w:rsidP="006D7EF5">
            <w:pPr>
              <w:jc w:val="center"/>
              <w:rPr>
                <w:rFonts w:ascii="Tondo" w:hAnsi="Tondo"/>
              </w:rPr>
            </w:pPr>
            <w:r>
              <w:rPr>
                <w:rFonts w:ascii="Tondo" w:hAnsi="Tondo"/>
              </w:rPr>
              <w:t>8</w:t>
            </w:r>
          </w:p>
        </w:tc>
        <w:tc>
          <w:tcPr>
            <w:tcW w:w="5313" w:type="dxa"/>
            <w:shd w:val="clear" w:color="auto" w:fill="auto"/>
          </w:tcPr>
          <w:p w14:paraId="5BD0B22C" w14:textId="77777777" w:rsidR="00EB7BB4" w:rsidRDefault="0057001A" w:rsidP="00BA39D9">
            <w:pPr>
              <w:rPr>
                <w:rFonts w:ascii="Tondo" w:hAnsi="Tondo"/>
              </w:rPr>
            </w:pPr>
            <w:r>
              <w:rPr>
                <w:rFonts w:ascii="Tondo" w:hAnsi="Tondo"/>
              </w:rPr>
              <w:t>Wording added to further reinforce the attitude of “it could happen around here” and emphasise that settings should respond to all reports and concerns (including those that take place outside of the setting).</w:t>
            </w:r>
          </w:p>
          <w:p w14:paraId="39E9D9FA" w14:textId="77777777" w:rsidR="0057001A" w:rsidRDefault="0057001A" w:rsidP="00BA39D9">
            <w:pPr>
              <w:rPr>
                <w:rFonts w:ascii="Tondo" w:hAnsi="Tondo"/>
              </w:rPr>
            </w:pPr>
            <w:r>
              <w:rPr>
                <w:rFonts w:ascii="Tondo" w:hAnsi="Tondo"/>
              </w:rPr>
              <w:t>Pulling down of trousers has been added to the list of challenging physical behaviour that should not be tolerated.</w:t>
            </w:r>
          </w:p>
          <w:p w14:paraId="6B61BBEA" w14:textId="71805773" w:rsidR="0057001A" w:rsidRPr="00222D45" w:rsidRDefault="0057001A" w:rsidP="00BA39D9">
            <w:pPr>
              <w:rPr>
                <w:rFonts w:ascii="Tondo" w:hAnsi="Tondo"/>
              </w:rPr>
            </w:pPr>
            <w:r>
              <w:rPr>
                <w:rFonts w:ascii="Tondo" w:hAnsi="Tondo"/>
              </w:rPr>
              <w:t xml:space="preserve">Wording also added to emphasise the impact of “not recognising, </w:t>
            </w:r>
            <w:proofErr w:type="gramStart"/>
            <w:r>
              <w:rPr>
                <w:rFonts w:ascii="Tondo" w:hAnsi="Tondo"/>
              </w:rPr>
              <w:t>acknowledging</w:t>
            </w:r>
            <w:proofErr w:type="gramEnd"/>
            <w:r>
              <w:rPr>
                <w:rFonts w:ascii="Tondo" w:hAnsi="Tondo"/>
              </w:rPr>
              <w:t xml:space="preserve"> or understanding the scale of harassment and abuse and/or downplaying some behaviours related to abuse” and how this may change the culture within the setting.</w:t>
            </w:r>
          </w:p>
        </w:tc>
        <w:tc>
          <w:tcPr>
            <w:tcW w:w="1622" w:type="dxa"/>
            <w:shd w:val="clear" w:color="auto" w:fill="auto"/>
          </w:tcPr>
          <w:p w14:paraId="1F72DF8B" w14:textId="2FAC56A4" w:rsidR="00EB7BB4" w:rsidRPr="00222D45" w:rsidRDefault="00204D9F" w:rsidP="00BA39D9">
            <w:pPr>
              <w:rPr>
                <w:rFonts w:ascii="Tondo" w:hAnsi="Tondo"/>
              </w:rPr>
            </w:pPr>
            <w:r>
              <w:rPr>
                <w:rFonts w:ascii="Tondo" w:hAnsi="Tondo"/>
              </w:rPr>
              <w:t>Child centred approach</w:t>
            </w:r>
          </w:p>
        </w:tc>
        <w:tc>
          <w:tcPr>
            <w:tcW w:w="4970" w:type="dxa"/>
            <w:shd w:val="clear" w:color="auto" w:fill="auto"/>
          </w:tcPr>
          <w:p w14:paraId="14F6A1C1" w14:textId="656A8BCE" w:rsidR="00EB7BB4" w:rsidRPr="00222D45" w:rsidRDefault="00EB7BB4" w:rsidP="00BA39D9">
            <w:pPr>
              <w:rPr>
                <w:rFonts w:ascii="Tondo" w:hAnsi="Tondo"/>
              </w:rPr>
            </w:pPr>
          </w:p>
        </w:tc>
      </w:tr>
      <w:tr w:rsidR="00EB7BB4" w:rsidRPr="00222D45" w14:paraId="1570446D" w14:textId="77777777" w:rsidTr="00D80987">
        <w:tc>
          <w:tcPr>
            <w:tcW w:w="747" w:type="dxa"/>
            <w:shd w:val="clear" w:color="auto" w:fill="auto"/>
          </w:tcPr>
          <w:p w14:paraId="50663E23" w14:textId="5B10B3FF" w:rsidR="00EB7BB4" w:rsidRPr="00222D45" w:rsidRDefault="0057001A" w:rsidP="006D7EF5">
            <w:pPr>
              <w:jc w:val="center"/>
              <w:rPr>
                <w:rFonts w:ascii="Tondo" w:hAnsi="Tondo"/>
              </w:rPr>
            </w:pPr>
            <w:r>
              <w:rPr>
                <w:rFonts w:ascii="Tondo" w:hAnsi="Tondo"/>
              </w:rPr>
              <w:t>10</w:t>
            </w:r>
          </w:p>
        </w:tc>
        <w:tc>
          <w:tcPr>
            <w:tcW w:w="1944" w:type="dxa"/>
            <w:shd w:val="clear" w:color="auto" w:fill="auto"/>
          </w:tcPr>
          <w:p w14:paraId="7D6AB81A" w14:textId="71F09942" w:rsidR="00EB7BB4" w:rsidRPr="00222D45" w:rsidRDefault="0057001A" w:rsidP="0057001A">
            <w:pPr>
              <w:jc w:val="center"/>
              <w:rPr>
                <w:rFonts w:ascii="Tondo" w:hAnsi="Tondo"/>
              </w:rPr>
            </w:pPr>
            <w:r>
              <w:rPr>
                <w:rFonts w:ascii="Tondo" w:hAnsi="Tondo"/>
              </w:rPr>
              <w:t>13</w:t>
            </w:r>
          </w:p>
        </w:tc>
        <w:tc>
          <w:tcPr>
            <w:tcW w:w="5313" w:type="dxa"/>
            <w:shd w:val="clear" w:color="auto" w:fill="auto"/>
          </w:tcPr>
          <w:p w14:paraId="0225B329" w14:textId="07A63DD4" w:rsidR="00EB7BB4" w:rsidRPr="00222D45" w:rsidRDefault="0057001A" w:rsidP="00BA39D9">
            <w:pPr>
              <w:rPr>
                <w:rFonts w:ascii="Tondo" w:hAnsi="Tondo"/>
              </w:rPr>
            </w:pPr>
            <w:r>
              <w:rPr>
                <w:rFonts w:ascii="Tondo" w:hAnsi="Tondo"/>
              </w:rPr>
              <w:t>Wording added further emphasising that incidents can happen both inside and outside the setting.</w:t>
            </w:r>
          </w:p>
        </w:tc>
        <w:tc>
          <w:tcPr>
            <w:tcW w:w="1622" w:type="dxa"/>
            <w:shd w:val="clear" w:color="auto" w:fill="auto"/>
          </w:tcPr>
          <w:p w14:paraId="7B56ED27" w14:textId="3BFAA3E3" w:rsidR="00EB7BB4" w:rsidRPr="00222D45" w:rsidRDefault="0057001A" w:rsidP="00BA39D9">
            <w:pPr>
              <w:rPr>
                <w:rFonts w:ascii="Tondo" w:hAnsi="Tondo"/>
              </w:rPr>
            </w:pPr>
            <w:r>
              <w:rPr>
                <w:rFonts w:ascii="Tondo" w:hAnsi="Tondo"/>
              </w:rPr>
              <w:t>Contextual safeguarding</w:t>
            </w:r>
          </w:p>
        </w:tc>
        <w:tc>
          <w:tcPr>
            <w:tcW w:w="4970" w:type="dxa"/>
            <w:shd w:val="clear" w:color="auto" w:fill="auto"/>
          </w:tcPr>
          <w:p w14:paraId="50D4F964" w14:textId="77777777" w:rsidR="00EB7BB4" w:rsidRPr="00222D45" w:rsidRDefault="00EB7BB4" w:rsidP="00BA39D9">
            <w:pPr>
              <w:rPr>
                <w:rFonts w:ascii="Tondo" w:hAnsi="Tondo"/>
              </w:rPr>
            </w:pPr>
          </w:p>
        </w:tc>
      </w:tr>
      <w:tr w:rsidR="00EB7BB4" w:rsidRPr="00222D45" w14:paraId="0CE8C18C" w14:textId="77777777" w:rsidTr="00D80987">
        <w:tc>
          <w:tcPr>
            <w:tcW w:w="747" w:type="dxa"/>
            <w:shd w:val="clear" w:color="auto" w:fill="auto"/>
          </w:tcPr>
          <w:p w14:paraId="0EFDCDF0" w14:textId="2DB8B415" w:rsidR="00EB7BB4" w:rsidRPr="00222D45" w:rsidRDefault="0057001A" w:rsidP="006D7EF5">
            <w:pPr>
              <w:jc w:val="center"/>
              <w:rPr>
                <w:rFonts w:ascii="Tondo" w:hAnsi="Tondo"/>
              </w:rPr>
            </w:pPr>
            <w:r>
              <w:rPr>
                <w:rFonts w:ascii="Tondo" w:hAnsi="Tondo"/>
              </w:rPr>
              <w:t>10</w:t>
            </w:r>
          </w:p>
        </w:tc>
        <w:tc>
          <w:tcPr>
            <w:tcW w:w="1944" w:type="dxa"/>
            <w:shd w:val="clear" w:color="auto" w:fill="auto"/>
          </w:tcPr>
          <w:p w14:paraId="39D2167A" w14:textId="59E93B5B" w:rsidR="00EB7BB4" w:rsidRPr="00222D45" w:rsidRDefault="0057001A" w:rsidP="006D7EF5">
            <w:pPr>
              <w:jc w:val="center"/>
              <w:rPr>
                <w:rFonts w:ascii="Tondo" w:hAnsi="Tondo"/>
              </w:rPr>
            </w:pPr>
            <w:r>
              <w:rPr>
                <w:rFonts w:ascii="Tondo" w:hAnsi="Tondo"/>
              </w:rPr>
              <w:t>14</w:t>
            </w:r>
          </w:p>
        </w:tc>
        <w:tc>
          <w:tcPr>
            <w:tcW w:w="5313" w:type="dxa"/>
            <w:shd w:val="clear" w:color="auto" w:fill="auto"/>
          </w:tcPr>
          <w:p w14:paraId="6CD411A0" w14:textId="77777777" w:rsidR="00EB7BB4" w:rsidRDefault="0057001A" w:rsidP="0057001A">
            <w:pPr>
              <w:rPr>
                <w:rFonts w:ascii="Tondo" w:hAnsi="Tondo"/>
              </w:rPr>
            </w:pPr>
            <w:r>
              <w:rPr>
                <w:rFonts w:ascii="Tondo" w:hAnsi="Tondo"/>
              </w:rPr>
              <w:t>Clarification for settings that sexual assault: “</w:t>
            </w:r>
            <w:r w:rsidRPr="0057001A">
              <w:rPr>
                <w:rFonts w:ascii="Tondo" w:hAnsi="Tondo"/>
              </w:rPr>
              <w:t>covers a very wide range of behaviour so a single act of kissing someone</w:t>
            </w:r>
            <w:r>
              <w:rPr>
                <w:rFonts w:ascii="Tondo" w:hAnsi="Tondo"/>
              </w:rPr>
              <w:t xml:space="preserve"> </w:t>
            </w:r>
            <w:r w:rsidRPr="0057001A">
              <w:rPr>
                <w:rFonts w:ascii="Tondo" w:hAnsi="Tondo"/>
              </w:rPr>
              <w:t>without consent or touching someone’s bottom/breasts/genitalia without consent, can still</w:t>
            </w:r>
            <w:r>
              <w:rPr>
                <w:rFonts w:ascii="Tondo" w:hAnsi="Tondo"/>
              </w:rPr>
              <w:t xml:space="preserve"> </w:t>
            </w:r>
            <w:r w:rsidRPr="0057001A">
              <w:rPr>
                <w:rFonts w:ascii="Tondo" w:hAnsi="Tondo"/>
              </w:rPr>
              <w:t>constitute sexual assault</w:t>
            </w:r>
            <w:r>
              <w:rPr>
                <w:rFonts w:ascii="Tondo" w:hAnsi="Tondo"/>
              </w:rPr>
              <w:t>”</w:t>
            </w:r>
            <w:r w:rsidRPr="0057001A">
              <w:rPr>
                <w:rFonts w:ascii="Tondo" w:hAnsi="Tondo"/>
              </w:rPr>
              <w:t>.</w:t>
            </w:r>
          </w:p>
          <w:p w14:paraId="4BB51931" w14:textId="533C72C4" w:rsidR="0057001A" w:rsidRPr="00222D45" w:rsidRDefault="0057001A" w:rsidP="0057001A">
            <w:pPr>
              <w:rPr>
                <w:rFonts w:ascii="Tondo" w:hAnsi="Tondo"/>
              </w:rPr>
            </w:pPr>
            <w:r>
              <w:rPr>
                <w:rFonts w:ascii="Tondo" w:hAnsi="Tondo"/>
              </w:rPr>
              <w:t>Addition of paragraph about causing someone to engage in sexual activity without consent, giving the examples of “</w:t>
            </w:r>
            <w:r w:rsidRPr="0057001A">
              <w:rPr>
                <w:rFonts w:ascii="Tondo" w:hAnsi="Tondo"/>
              </w:rPr>
              <w:t>forcing someone to strip,</w:t>
            </w:r>
            <w:r>
              <w:rPr>
                <w:rFonts w:ascii="Tondo" w:hAnsi="Tondo"/>
              </w:rPr>
              <w:t xml:space="preserve"> </w:t>
            </w:r>
            <w:r w:rsidRPr="0057001A">
              <w:rPr>
                <w:rFonts w:ascii="Tondo" w:hAnsi="Tondo"/>
              </w:rPr>
              <w:t>touch themselves sexually, or to engage in sexual activity with a third party</w:t>
            </w:r>
            <w:r>
              <w:rPr>
                <w:rFonts w:ascii="Tondo" w:hAnsi="Tondo"/>
              </w:rPr>
              <w:t>”.</w:t>
            </w:r>
          </w:p>
        </w:tc>
        <w:tc>
          <w:tcPr>
            <w:tcW w:w="1622" w:type="dxa"/>
            <w:shd w:val="clear" w:color="auto" w:fill="auto"/>
          </w:tcPr>
          <w:p w14:paraId="7D944297" w14:textId="02A92201" w:rsidR="00EB7BB4" w:rsidRPr="00222D45" w:rsidRDefault="0057001A" w:rsidP="00BA39D9">
            <w:pPr>
              <w:rPr>
                <w:rFonts w:ascii="Tondo" w:hAnsi="Tondo"/>
              </w:rPr>
            </w:pPr>
            <w:r>
              <w:rPr>
                <w:rFonts w:ascii="Tondo" w:hAnsi="Tondo"/>
              </w:rPr>
              <w:t>Definitions</w:t>
            </w:r>
          </w:p>
        </w:tc>
        <w:tc>
          <w:tcPr>
            <w:tcW w:w="4970" w:type="dxa"/>
            <w:shd w:val="clear" w:color="auto" w:fill="auto"/>
          </w:tcPr>
          <w:p w14:paraId="3BCB9A3C" w14:textId="77777777" w:rsidR="00EB7BB4" w:rsidRPr="00222D45" w:rsidRDefault="00EB7BB4" w:rsidP="00BA39D9">
            <w:pPr>
              <w:rPr>
                <w:rFonts w:ascii="Tondo" w:hAnsi="Tondo"/>
              </w:rPr>
            </w:pPr>
          </w:p>
        </w:tc>
      </w:tr>
      <w:tr w:rsidR="009145CF" w:rsidRPr="00222D45" w14:paraId="6F64CE76" w14:textId="77777777" w:rsidTr="00D80987">
        <w:tc>
          <w:tcPr>
            <w:tcW w:w="747" w:type="dxa"/>
            <w:shd w:val="clear" w:color="auto" w:fill="auto"/>
          </w:tcPr>
          <w:p w14:paraId="1D2C4225" w14:textId="2A77CAD5" w:rsidR="009145CF" w:rsidRDefault="0057001A" w:rsidP="006D7EF5">
            <w:pPr>
              <w:jc w:val="center"/>
              <w:rPr>
                <w:rFonts w:ascii="Tondo" w:hAnsi="Tondo"/>
              </w:rPr>
            </w:pPr>
            <w:r>
              <w:rPr>
                <w:rFonts w:ascii="Tondo" w:hAnsi="Tondo"/>
              </w:rPr>
              <w:t>11</w:t>
            </w:r>
          </w:p>
        </w:tc>
        <w:tc>
          <w:tcPr>
            <w:tcW w:w="1944" w:type="dxa"/>
            <w:shd w:val="clear" w:color="auto" w:fill="auto"/>
          </w:tcPr>
          <w:p w14:paraId="45F244E8" w14:textId="6C2E27C9" w:rsidR="009145CF" w:rsidRDefault="0057001A" w:rsidP="006D7EF5">
            <w:pPr>
              <w:jc w:val="center"/>
              <w:rPr>
                <w:rFonts w:ascii="Tondo" w:hAnsi="Tondo"/>
              </w:rPr>
            </w:pPr>
            <w:r>
              <w:rPr>
                <w:rFonts w:ascii="Tondo" w:hAnsi="Tondo"/>
              </w:rPr>
              <w:t>First bullet point</w:t>
            </w:r>
          </w:p>
        </w:tc>
        <w:tc>
          <w:tcPr>
            <w:tcW w:w="5313" w:type="dxa"/>
            <w:shd w:val="clear" w:color="auto" w:fill="auto"/>
          </w:tcPr>
          <w:p w14:paraId="7A4A4C59" w14:textId="69F8E454" w:rsidR="009145CF" w:rsidRDefault="0057001A" w:rsidP="00BA39D9">
            <w:pPr>
              <w:rPr>
                <w:rFonts w:ascii="Tondo" w:hAnsi="Tondo"/>
              </w:rPr>
            </w:pPr>
            <w:r>
              <w:rPr>
                <w:rFonts w:ascii="Tondo" w:hAnsi="Tondo"/>
              </w:rPr>
              <w:t>Addition of the word “consensual” when talking about the sharing of nude and semi-nude images and videos.</w:t>
            </w:r>
          </w:p>
        </w:tc>
        <w:tc>
          <w:tcPr>
            <w:tcW w:w="1622" w:type="dxa"/>
            <w:shd w:val="clear" w:color="auto" w:fill="auto"/>
          </w:tcPr>
          <w:p w14:paraId="0F5FEAE5" w14:textId="41E98A84" w:rsidR="009145CF" w:rsidRPr="00222D45" w:rsidRDefault="0057001A" w:rsidP="00BA39D9">
            <w:pPr>
              <w:rPr>
                <w:rFonts w:ascii="Tondo" w:hAnsi="Tondo"/>
              </w:rPr>
            </w:pPr>
            <w:r>
              <w:rPr>
                <w:rFonts w:ascii="Tondo" w:hAnsi="Tondo"/>
              </w:rPr>
              <w:t>Definitions</w:t>
            </w:r>
          </w:p>
        </w:tc>
        <w:tc>
          <w:tcPr>
            <w:tcW w:w="4970" w:type="dxa"/>
            <w:shd w:val="clear" w:color="auto" w:fill="auto"/>
          </w:tcPr>
          <w:p w14:paraId="02739242" w14:textId="77777777" w:rsidR="009145CF" w:rsidRDefault="0057001A" w:rsidP="00BA39D9">
            <w:pPr>
              <w:rPr>
                <w:rFonts w:ascii="Tondo" w:hAnsi="Tondo"/>
              </w:rPr>
            </w:pPr>
            <w:r>
              <w:rPr>
                <w:rFonts w:ascii="Tondo" w:hAnsi="Tondo"/>
              </w:rPr>
              <w:t>This is of note as this bullet point recognises two things:</w:t>
            </w:r>
          </w:p>
          <w:p w14:paraId="2F5CBCB6" w14:textId="3ECB7DAD" w:rsidR="0057001A" w:rsidRDefault="0057001A" w:rsidP="0057001A">
            <w:pPr>
              <w:pStyle w:val="ListParagraph"/>
              <w:numPr>
                <w:ilvl w:val="0"/>
                <w:numId w:val="34"/>
              </w:numPr>
              <w:rPr>
                <w:rFonts w:ascii="Tondo" w:hAnsi="Tondo"/>
              </w:rPr>
            </w:pPr>
            <w:r>
              <w:rPr>
                <w:rFonts w:ascii="Tondo" w:hAnsi="Tondo"/>
              </w:rPr>
              <w:t xml:space="preserve">That it is not only non-consensual sharing that can be </w:t>
            </w:r>
            <w:r w:rsidR="00B04E65">
              <w:rPr>
                <w:rFonts w:ascii="Tondo" w:hAnsi="Tondo"/>
              </w:rPr>
              <w:t>part of a wider pattern</w:t>
            </w:r>
            <w:r>
              <w:rPr>
                <w:rFonts w:ascii="Tondo" w:hAnsi="Tondo"/>
              </w:rPr>
              <w:t>, but consensual sharing as well</w:t>
            </w:r>
            <w:r w:rsidR="00B04E65">
              <w:rPr>
                <w:rFonts w:ascii="Tondo" w:hAnsi="Tondo"/>
              </w:rPr>
              <w:t xml:space="preserve"> – also notes that where u18’s are involved this is a criminal offence.</w:t>
            </w:r>
          </w:p>
          <w:p w14:paraId="6DC310B4" w14:textId="4D82C901" w:rsidR="00B04E65" w:rsidRPr="0057001A" w:rsidRDefault="00B04E65" w:rsidP="0057001A">
            <w:pPr>
              <w:pStyle w:val="ListParagraph"/>
              <w:numPr>
                <w:ilvl w:val="0"/>
                <w:numId w:val="34"/>
              </w:numPr>
              <w:rPr>
                <w:rFonts w:ascii="Tondo" w:hAnsi="Tondo"/>
              </w:rPr>
            </w:pPr>
            <w:r>
              <w:rPr>
                <w:rFonts w:ascii="Tondo" w:hAnsi="Tondo"/>
              </w:rPr>
              <w:t xml:space="preserve">Change in terminology to sharing of nudes and semi-nudes, reflecting the </w:t>
            </w:r>
            <w:hyperlink r:id="rId9" w:history="1">
              <w:r w:rsidRPr="00B04E65">
                <w:rPr>
                  <w:rStyle w:val="Hyperlink"/>
                  <w:rFonts w:ascii="Tondo" w:hAnsi="Tondo"/>
                  <w:color w:val="EB3377"/>
                </w:rPr>
                <w:t>new document from UKCIS</w:t>
              </w:r>
            </w:hyperlink>
            <w:r>
              <w:rPr>
                <w:rFonts w:ascii="Tondo" w:hAnsi="Tondo"/>
              </w:rPr>
              <w:t>.</w:t>
            </w:r>
          </w:p>
        </w:tc>
      </w:tr>
      <w:tr w:rsidR="009145CF" w:rsidRPr="00222D45" w14:paraId="3B36706B" w14:textId="77777777" w:rsidTr="00D80987">
        <w:tc>
          <w:tcPr>
            <w:tcW w:w="747" w:type="dxa"/>
            <w:shd w:val="clear" w:color="auto" w:fill="auto"/>
          </w:tcPr>
          <w:p w14:paraId="1353D980" w14:textId="05282AB1" w:rsidR="009145CF" w:rsidRDefault="00B04E65" w:rsidP="006D7EF5">
            <w:pPr>
              <w:jc w:val="center"/>
              <w:rPr>
                <w:rFonts w:ascii="Tondo" w:hAnsi="Tondo"/>
              </w:rPr>
            </w:pPr>
            <w:r>
              <w:rPr>
                <w:rFonts w:ascii="Tondo" w:hAnsi="Tondo"/>
              </w:rPr>
              <w:t>12</w:t>
            </w:r>
          </w:p>
        </w:tc>
        <w:tc>
          <w:tcPr>
            <w:tcW w:w="1944" w:type="dxa"/>
            <w:shd w:val="clear" w:color="auto" w:fill="auto"/>
          </w:tcPr>
          <w:p w14:paraId="12CBC9C9" w14:textId="54A1F082" w:rsidR="009145CF" w:rsidRDefault="00B04E65" w:rsidP="006D7EF5">
            <w:pPr>
              <w:jc w:val="center"/>
              <w:rPr>
                <w:rFonts w:ascii="Tondo" w:hAnsi="Tondo"/>
              </w:rPr>
            </w:pPr>
            <w:r>
              <w:rPr>
                <w:rFonts w:ascii="Tondo" w:hAnsi="Tondo"/>
              </w:rPr>
              <w:t>17</w:t>
            </w:r>
          </w:p>
        </w:tc>
        <w:tc>
          <w:tcPr>
            <w:tcW w:w="5313" w:type="dxa"/>
            <w:shd w:val="clear" w:color="auto" w:fill="auto"/>
          </w:tcPr>
          <w:p w14:paraId="023F8B49" w14:textId="77777777" w:rsidR="009145CF" w:rsidRDefault="00B04E65" w:rsidP="00BA39D9">
            <w:pPr>
              <w:rPr>
                <w:rFonts w:ascii="Tondo" w:hAnsi="Tondo"/>
              </w:rPr>
            </w:pPr>
            <w:r>
              <w:rPr>
                <w:rFonts w:ascii="Tondo" w:hAnsi="Tondo"/>
              </w:rPr>
              <w:t>Change of wording from “atmosphere” to “culture”, so now reads:</w:t>
            </w:r>
          </w:p>
          <w:p w14:paraId="2F08E608" w14:textId="68631B65" w:rsidR="00B04E65" w:rsidRDefault="00B04E65" w:rsidP="00B04E65">
            <w:pPr>
              <w:rPr>
                <w:rFonts w:ascii="Tondo" w:hAnsi="Tondo"/>
              </w:rPr>
            </w:pPr>
            <w:r>
              <w:rPr>
                <w:rFonts w:ascii="Tondo" w:hAnsi="Tondo"/>
              </w:rPr>
              <w:t>“</w:t>
            </w:r>
            <w:r w:rsidRPr="00B04E65">
              <w:rPr>
                <w:rFonts w:ascii="Tondo" w:hAnsi="Tondo"/>
              </w:rPr>
              <w:t>It is important that schools and colleges consider sexual harassment in broad</w:t>
            </w:r>
            <w:r>
              <w:rPr>
                <w:rFonts w:ascii="Tondo" w:hAnsi="Tondo"/>
              </w:rPr>
              <w:t xml:space="preserve"> </w:t>
            </w:r>
            <w:r w:rsidRPr="00B04E65">
              <w:rPr>
                <w:rFonts w:ascii="Tondo" w:hAnsi="Tondo"/>
              </w:rPr>
              <w:t>terms. Sexual harassment (as set out above) creates a culture that, if not challenged,</w:t>
            </w:r>
            <w:r>
              <w:rPr>
                <w:rFonts w:ascii="Tondo" w:hAnsi="Tondo"/>
              </w:rPr>
              <w:t xml:space="preserve"> </w:t>
            </w:r>
            <w:r w:rsidRPr="00B04E65">
              <w:rPr>
                <w:rFonts w:ascii="Tondo" w:hAnsi="Tondo"/>
              </w:rPr>
              <w:t>can normalise inappropriate behaviours and provide an environment that may lead to</w:t>
            </w:r>
            <w:r>
              <w:rPr>
                <w:rFonts w:ascii="Tondo" w:hAnsi="Tondo"/>
              </w:rPr>
              <w:t xml:space="preserve"> </w:t>
            </w:r>
            <w:r w:rsidRPr="00B04E65">
              <w:rPr>
                <w:rFonts w:ascii="Tondo" w:hAnsi="Tondo"/>
              </w:rPr>
              <w:t>sexual violence</w:t>
            </w:r>
            <w:r>
              <w:rPr>
                <w:rFonts w:ascii="Tondo" w:hAnsi="Tondo"/>
              </w:rPr>
              <w:t>”.</w:t>
            </w:r>
          </w:p>
        </w:tc>
        <w:tc>
          <w:tcPr>
            <w:tcW w:w="1622" w:type="dxa"/>
            <w:shd w:val="clear" w:color="auto" w:fill="auto"/>
          </w:tcPr>
          <w:p w14:paraId="036D9BB9" w14:textId="77BBE955" w:rsidR="00BB199F" w:rsidRPr="00222D45" w:rsidRDefault="00B04E65" w:rsidP="00BA39D9">
            <w:pPr>
              <w:rPr>
                <w:rFonts w:ascii="Tondo" w:hAnsi="Tondo"/>
              </w:rPr>
            </w:pPr>
            <w:r>
              <w:rPr>
                <w:rFonts w:ascii="Tondo" w:hAnsi="Tondo"/>
              </w:rPr>
              <w:t>Terminology</w:t>
            </w:r>
          </w:p>
        </w:tc>
        <w:tc>
          <w:tcPr>
            <w:tcW w:w="4970" w:type="dxa"/>
            <w:shd w:val="clear" w:color="auto" w:fill="auto"/>
          </w:tcPr>
          <w:p w14:paraId="1EFBC161" w14:textId="495CA98C" w:rsidR="009145CF" w:rsidRPr="00222D45" w:rsidRDefault="00B04E65" w:rsidP="00BA39D9">
            <w:pPr>
              <w:rPr>
                <w:rFonts w:ascii="Tondo" w:hAnsi="Tondo"/>
              </w:rPr>
            </w:pPr>
            <w:r>
              <w:rPr>
                <w:rFonts w:ascii="Tondo" w:hAnsi="Tondo"/>
              </w:rPr>
              <w:t>As the changes already highlighted have established, this further reinforces that there is expected to be a much stronger response from settings to sexual violence and sexual harassment.</w:t>
            </w:r>
          </w:p>
        </w:tc>
      </w:tr>
      <w:tr w:rsidR="009145CF" w:rsidRPr="00222D45" w14:paraId="33A76838" w14:textId="77777777" w:rsidTr="00D80987">
        <w:tc>
          <w:tcPr>
            <w:tcW w:w="747" w:type="dxa"/>
            <w:shd w:val="clear" w:color="auto" w:fill="auto"/>
          </w:tcPr>
          <w:p w14:paraId="28EF53CF" w14:textId="15723993" w:rsidR="009145CF" w:rsidRDefault="00B04E65" w:rsidP="006D7EF5">
            <w:pPr>
              <w:jc w:val="center"/>
              <w:rPr>
                <w:rFonts w:ascii="Tondo" w:hAnsi="Tondo"/>
              </w:rPr>
            </w:pPr>
            <w:r>
              <w:rPr>
                <w:rFonts w:ascii="Tondo" w:hAnsi="Tondo"/>
              </w:rPr>
              <w:t>12</w:t>
            </w:r>
          </w:p>
        </w:tc>
        <w:tc>
          <w:tcPr>
            <w:tcW w:w="1944" w:type="dxa"/>
            <w:shd w:val="clear" w:color="auto" w:fill="auto"/>
          </w:tcPr>
          <w:p w14:paraId="006EFE53" w14:textId="4F7C9B4D" w:rsidR="009145CF" w:rsidRDefault="00B04E65" w:rsidP="006D7EF5">
            <w:pPr>
              <w:jc w:val="center"/>
              <w:rPr>
                <w:rFonts w:ascii="Tondo" w:hAnsi="Tondo"/>
              </w:rPr>
            </w:pPr>
            <w:r>
              <w:rPr>
                <w:rFonts w:ascii="Tondo" w:hAnsi="Tondo"/>
              </w:rPr>
              <w:t>19</w:t>
            </w:r>
          </w:p>
        </w:tc>
        <w:tc>
          <w:tcPr>
            <w:tcW w:w="5313" w:type="dxa"/>
            <w:shd w:val="clear" w:color="auto" w:fill="auto"/>
          </w:tcPr>
          <w:p w14:paraId="3D1F6CA0" w14:textId="4579FEF1" w:rsidR="009145CF" w:rsidRDefault="00B04E65" w:rsidP="00BA39D9">
            <w:pPr>
              <w:rPr>
                <w:rFonts w:ascii="Tondo" w:hAnsi="Tondo"/>
              </w:rPr>
            </w:pPr>
            <w:r>
              <w:rPr>
                <w:rFonts w:ascii="Tondo" w:hAnsi="Tondo"/>
              </w:rPr>
              <w:t>Reference to harmful sexual behaviour and national specialist support that is available.</w:t>
            </w:r>
          </w:p>
        </w:tc>
        <w:tc>
          <w:tcPr>
            <w:tcW w:w="1622" w:type="dxa"/>
            <w:shd w:val="clear" w:color="auto" w:fill="auto"/>
          </w:tcPr>
          <w:p w14:paraId="799711FC" w14:textId="10A70EBE" w:rsidR="009145CF" w:rsidRPr="00222D45" w:rsidRDefault="00B04E65" w:rsidP="00BA39D9">
            <w:pPr>
              <w:rPr>
                <w:rFonts w:ascii="Tondo" w:hAnsi="Tondo"/>
              </w:rPr>
            </w:pPr>
            <w:r>
              <w:rPr>
                <w:rFonts w:ascii="Tondo" w:hAnsi="Tondo"/>
              </w:rPr>
              <w:t>Harmful sexual behaviour</w:t>
            </w:r>
          </w:p>
        </w:tc>
        <w:tc>
          <w:tcPr>
            <w:tcW w:w="4970" w:type="dxa"/>
            <w:shd w:val="clear" w:color="auto" w:fill="auto"/>
          </w:tcPr>
          <w:p w14:paraId="3399F060" w14:textId="458EC04A" w:rsidR="009145CF" w:rsidRPr="00222D45" w:rsidRDefault="00B04E65" w:rsidP="00BA39D9">
            <w:pPr>
              <w:rPr>
                <w:rFonts w:ascii="Tondo" w:hAnsi="Tondo"/>
              </w:rPr>
            </w:pPr>
            <w:r>
              <w:rPr>
                <w:rFonts w:ascii="Tondo" w:hAnsi="Tondo"/>
              </w:rPr>
              <w:t xml:space="preserve">Of note is that the </w:t>
            </w:r>
            <w:hyperlink r:id="rId10" w:history="1">
              <w:r w:rsidRPr="00636AF0">
                <w:rPr>
                  <w:rStyle w:val="Hyperlink"/>
                  <w:rFonts w:ascii="Tondo" w:hAnsi="Tondo"/>
                </w:rPr>
                <w:t>Brook Sexual Behaviours Tool</w:t>
              </w:r>
            </w:hyperlink>
            <w:r>
              <w:rPr>
                <w:rFonts w:ascii="Tondo" w:hAnsi="Tondo"/>
              </w:rPr>
              <w:t xml:space="preserve"> is removed from this list</w:t>
            </w:r>
            <w:r w:rsidR="00636AF0">
              <w:rPr>
                <w:rFonts w:ascii="Tondo" w:hAnsi="Tondo"/>
              </w:rPr>
              <w:t>. Previous versions of the tool are no longer supported and should be deleted.</w:t>
            </w:r>
            <w:r>
              <w:rPr>
                <w:rFonts w:ascii="Tondo" w:hAnsi="Tondo"/>
              </w:rPr>
              <w:t xml:space="preserve"> </w:t>
            </w:r>
            <w:r w:rsidR="00636AF0">
              <w:rPr>
                <w:rFonts w:ascii="Tondo" w:hAnsi="Tondo"/>
              </w:rPr>
              <w:t>T</w:t>
            </w:r>
            <w:r>
              <w:rPr>
                <w:rFonts w:ascii="Tondo" w:hAnsi="Tondo"/>
              </w:rPr>
              <w:t xml:space="preserve">he </w:t>
            </w:r>
            <w:r w:rsidR="00636AF0">
              <w:rPr>
                <w:rFonts w:ascii="Tondo" w:hAnsi="Tondo"/>
              </w:rPr>
              <w:t xml:space="preserve">updated </w:t>
            </w:r>
            <w:r>
              <w:rPr>
                <w:rFonts w:ascii="Tondo" w:hAnsi="Tondo"/>
              </w:rPr>
              <w:t xml:space="preserve">tool </w:t>
            </w:r>
            <w:r w:rsidR="00636AF0">
              <w:rPr>
                <w:rFonts w:ascii="Tondo" w:hAnsi="Tondo"/>
              </w:rPr>
              <w:t>is accessible but there is a requirement to complete a paid online learning course first.</w:t>
            </w:r>
          </w:p>
        </w:tc>
      </w:tr>
      <w:tr w:rsidR="00EB7BB4" w:rsidRPr="00222D45" w14:paraId="6F6088A9" w14:textId="77777777" w:rsidTr="00EB7BB4">
        <w:tc>
          <w:tcPr>
            <w:tcW w:w="14596" w:type="dxa"/>
            <w:gridSpan w:val="5"/>
            <w:shd w:val="clear" w:color="auto" w:fill="69CDE8"/>
          </w:tcPr>
          <w:p w14:paraId="5855D1DA" w14:textId="68CA3ECA" w:rsidR="00EB7BB4" w:rsidRPr="00222D45" w:rsidRDefault="00B04E65" w:rsidP="00B04E65">
            <w:pPr>
              <w:rPr>
                <w:rFonts w:ascii="Tondo" w:hAnsi="Tondo"/>
                <w:b/>
                <w:bCs/>
              </w:rPr>
            </w:pPr>
            <w:r w:rsidRPr="00B04E65">
              <w:rPr>
                <w:rFonts w:ascii="Tondo" w:hAnsi="Tondo"/>
                <w:b/>
                <w:bCs/>
              </w:rPr>
              <w:t>Part two: What are schools and colleges legal</w:t>
            </w:r>
            <w:r>
              <w:rPr>
                <w:rFonts w:ascii="Tondo" w:hAnsi="Tondo"/>
                <w:b/>
                <w:bCs/>
              </w:rPr>
              <w:t xml:space="preserve"> </w:t>
            </w:r>
            <w:r w:rsidRPr="00B04E65">
              <w:rPr>
                <w:rFonts w:ascii="Tondo" w:hAnsi="Tondo"/>
                <w:b/>
                <w:bCs/>
              </w:rPr>
              <w:t>responsibilities</w:t>
            </w:r>
          </w:p>
        </w:tc>
      </w:tr>
      <w:tr w:rsidR="00EB7BB4" w:rsidRPr="00222D45" w14:paraId="060D29C6" w14:textId="77777777" w:rsidTr="00D80987">
        <w:tc>
          <w:tcPr>
            <w:tcW w:w="747" w:type="dxa"/>
            <w:shd w:val="clear" w:color="auto" w:fill="auto"/>
          </w:tcPr>
          <w:p w14:paraId="6567ADE2" w14:textId="5FC74C7F" w:rsidR="00EB7BB4" w:rsidRPr="00222D45" w:rsidRDefault="008B6D07" w:rsidP="00C127E2">
            <w:pPr>
              <w:jc w:val="center"/>
              <w:rPr>
                <w:rFonts w:ascii="Tondo" w:hAnsi="Tondo"/>
              </w:rPr>
            </w:pPr>
            <w:r>
              <w:rPr>
                <w:rFonts w:ascii="Tondo" w:hAnsi="Tondo"/>
              </w:rPr>
              <w:t>14</w:t>
            </w:r>
          </w:p>
        </w:tc>
        <w:tc>
          <w:tcPr>
            <w:tcW w:w="1944" w:type="dxa"/>
            <w:shd w:val="clear" w:color="auto" w:fill="auto"/>
          </w:tcPr>
          <w:p w14:paraId="5586A5EB" w14:textId="40A3395D" w:rsidR="00EB7BB4" w:rsidRPr="00222D45" w:rsidRDefault="008B6D07" w:rsidP="00C127E2">
            <w:pPr>
              <w:jc w:val="center"/>
              <w:rPr>
                <w:rFonts w:ascii="Tondo" w:hAnsi="Tondo"/>
              </w:rPr>
            </w:pPr>
            <w:r>
              <w:rPr>
                <w:rFonts w:ascii="Tondo" w:hAnsi="Tondo"/>
              </w:rPr>
              <w:t>23</w:t>
            </w:r>
          </w:p>
        </w:tc>
        <w:tc>
          <w:tcPr>
            <w:tcW w:w="5313" w:type="dxa"/>
            <w:shd w:val="clear" w:color="auto" w:fill="auto"/>
          </w:tcPr>
          <w:p w14:paraId="29981B03" w14:textId="39D361E0" w:rsidR="00EB7BB4" w:rsidRPr="00222D45" w:rsidRDefault="008B6D07" w:rsidP="00BA39D9">
            <w:pPr>
              <w:rPr>
                <w:rFonts w:ascii="Tondo" w:hAnsi="Tondo"/>
              </w:rPr>
            </w:pPr>
            <w:r>
              <w:rPr>
                <w:rFonts w:ascii="Tondo" w:hAnsi="Tondo"/>
              </w:rPr>
              <w:t xml:space="preserve">New paragraph reinforcing the statements in </w:t>
            </w:r>
            <w:proofErr w:type="spellStart"/>
            <w:r>
              <w:rPr>
                <w:rFonts w:ascii="Tondo" w:hAnsi="Tondo"/>
              </w:rPr>
              <w:t>KCSiE</w:t>
            </w:r>
            <w:proofErr w:type="spellEnd"/>
            <w:r>
              <w:rPr>
                <w:rFonts w:ascii="Tondo" w:hAnsi="Tondo"/>
              </w:rPr>
              <w:t xml:space="preserve"> 2021 and Working Together that there is an expectation that settings meet their statutory responsibilities and work with safeguarding partnerships.</w:t>
            </w:r>
          </w:p>
        </w:tc>
        <w:tc>
          <w:tcPr>
            <w:tcW w:w="1622" w:type="dxa"/>
            <w:shd w:val="clear" w:color="auto" w:fill="auto"/>
          </w:tcPr>
          <w:p w14:paraId="4B51187B" w14:textId="411409B8" w:rsidR="00EB7BB4" w:rsidRPr="00222D45" w:rsidRDefault="008B6D07" w:rsidP="00BA39D9">
            <w:pPr>
              <w:rPr>
                <w:rFonts w:ascii="Tondo" w:hAnsi="Tondo"/>
              </w:rPr>
            </w:pPr>
            <w:r>
              <w:rPr>
                <w:rFonts w:ascii="Tondo" w:hAnsi="Tondo"/>
              </w:rPr>
              <w:t>Safeguarding partnerships</w:t>
            </w:r>
          </w:p>
        </w:tc>
        <w:tc>
          <w:tcPr>
            <w:tcW w:w="4970" w:type="dxa"/>
            <w:shd w:val="clear" w:color="auto" w:fill="auto"/>
          </w:tcPr>
          <w:p w14:paraId="01251116" w14:textId="77777777" w:rsidR="00EB7BB4" w:rsidRPr="00222D45" w:rsidRDefault="00EB7BB4" w:rsidP="00BA39D9">
            <w:pPr>
              <w:rPr>
                <w:rFonts w:ascii="Tondo" w:hAnsi="Tondo"/>
              </w:rPr>
            </w:pPr>
          </w:p>
        </w:tc>
      </w:tr>
      <w:tr w:rsidR="00EB7BB4" w:rsidRPr="00222D45" w14:paraId="34B9C926" w14:textId="77777777" w:rsidTr="00D80987">
        <w:tc>
          <w:tcPr>
            <w:tcW w:w="747" w:type="dxa"/>
            <w:shd w:val="clear" w:color="auto" w:fill="auto"/>
          </w:tcPr>
          <w:p w14:paraId="42084DEC" w14:textId="11A90A7C" w:rsidR="00EB7BB4" w:rsidRPr="00222D45" w:rsidRDefault="008B6D07" w:rsidP="00C127E2">
            <w:pPr>
              <w:jc w:val="center"/>
              <w:rPr>
                <w:rFonts w:ascii="Tondo" w:hAnsi="Tondo"/>
              </w:rPr>
            </w:pPr>
            <w:r>
              <w:rPr>
                <w:rFonts w:ascii="Tondo" w:hAnsi="Tondo"/>
              </w:rPr>
              <w:t>14</w:t>
            </w:r>
          </w:p>
        </w:tc>
        <w:tc>
          <w:tcPr>
            <w:tcW w:w="1944" w:type="dxa"/>
            <w:shd w:val="clear" w:color="auto" w:fill="auto"/>
          </w:tcPr>
          <w:p w14:paraId="53A23686" w14:textId="6E7D1E35" w:rsidR="00EB7BB4" w:rsidRPr="00222D45" w:rsidRDefault="008B6D07" w:rsidP="00C127E2">
            <w:pPr>
              <w:jc w:val="center"/>
              <w:rPr>
                <w:rFonts w:ascii="Tondo" w:hAnsi="Tondo"/>
              </w:rPr>
            </w:pPr>
            <w:r>
              <w:rPr>
                <w:rFonts w:ascii="Tondo" w:hAnsi="Tondo"/>
              </w:rPr>
              <w:t>24</w:t>
            </w:r>
          </w:p>
        </w:tc>
        <w:tc>
          <w:tcPr>
            <w:tcW w:w="5313" w:type="dxa"/>
            <w:shd w:val="clear" w:color="auto" w:fill="auto"/>
          </w:tcPr>
          <w:p w14:paraId="1112A0D4" w14:textId="2B988C3D" w:rsidR="00EB7BB4" w:rsidRPr="00222D45" w:rsidRDefault="008B6D07" w:rsidP="00BA39D9">
            <w:pPr>
              <w:rPr>
                <w:rFonts w:ascii="Tondo" w:hAnsi="Tondo"/>
              </w:rPr>
            </w:pPr>
            <w:r>
              <w:rPr>
                <w:rFonts w:ascii="Tondo" w:hAnsi="Tondo"/>
              </w:rPr>
              <w:t>Addition to the paragraph setting out expectations around behaviour policy to add</w:t>
            </w:r>
            <w:r w:rsidR="00EF6AED">
              <w:rPr>
                <w:rFonts w:ascii="Tondo" w:hAnsi="Tondo"/>
              </w:rPr>
              <w:t xml:space="preserve"> that measures in place should also prevent cyberbullying, prejudice-based and discriminatory bullying.</w:t>
            </w:r>
          </w:p>
        </w:tc>
        <w:tc>
          <w:tcPr>
            <w:tcW w:w="1622" w:type="dxa"/>
            <w:shd w:val="clear" w:color="auto" w:fill="auto"/>
          </w:tcPr>
          <w:p w14:paraId="12B098F2" w14:textId="4892927E" w:rsidR="00EB7BB4" w:rsidRPr="00222D45" w:rsidRDefault="00EF6AED" w:rsidP="00BA39D9">
            <w:pPr>
              <w:rPr>
                <w:rFonts w:ascii="Tondo" w:hAnsi="Tondo"/>
              </w:rPr>
            </w:pPr>
            <w:r>
              <w:rPr>
                <w:rFonts w:ascii="Tondo" w:hAnsi="Tondo"/>
              </w:rPr>
              <w:t>Policy</w:t>
            </w:r>
          </w:p>
        </w:tc>
        <w:tc>
          <w:tcPr>
            <w:tcW w:w="4970" w:type="dxa"/>
            <w:shd w:val="clear" w:color="auto" w:fill="auto"/>
          </w:tcPr>
          <w:p w14:paraId="1BE82AAC" w14:textId="77777777" w:rsidR="00EB7BB4" w:rsidRPr="00222D45" w:rsidRDefault="00EB7BB4" w:rsidP="00BA39D9">
            <w:pPr>
              <w:rPr>
                <w:rFonts w:ascii="Tondo" w:hAnsi="Tondo"/>
              </w:rPr>
            </w:pPr>
          </w:p>
        </w:tc>
      </w:tr>
      <w:tr w:rsidR="00EB7BB4" w:rsidRPr="00222D45" w14:paraId="07C05E9B" w14:textId="77777777" w:rsidTr="00D80987">
        <w:tc>
          <w:tcPr>
            <w:tcW w:w="747" w:type="dxa"/>
            <w:shd w:val="clear" w:color="auto" w:fill="auto"/>
          </w:tcPr>
          <w:p w14:paraId="56668747" w14:textId="32F6A0E2" w:rsidR="00EB7BB4" w:rsidRPr="00222D45" w:rsidRDefault="00EF6AED" w:rsidP="00C127E2">
            <w:pPr>
              <w:jc w:val="center"/>
              <w:rPr>
                <w:rFonts w:ascii="Tondo" w:hAnsi="Tondo"/>
              </w:rPr>
            </w:pPr>
            <w:r>
              <w:rPr>
                <w:rFonts w:ascii="Tondo" w:hAnsi="Tondo"/>
              </w:rPr>
              <w:t>16</w:t>
            </w:r>
          </w:p>
        </w:tc>
        <w:tc>
          <w:tcPr>
            <w:tcW w:w="1944" w:type="dxa"/>
            <w:shd w:val="clear" w:color="auto" w:fill="auto"/>
          </w:tcPr>
          <w:p w14:paraId="36608BC8" w14:textId="4A2D854A" w:rsidR="00EB7BB4" w:rsidRPr="00222D45" w:rsidRDefault="00EF6AED" w:rsidP="00C127E2">
            <w:pPr>
              <w:jc w:val="center"/>
              <w:rPr>
                <w:rFonts w:ascii="Tondo" w:hAnsi="Tondo"/>
              </w:rPr>
            </w:pPr>
            <w:proofErr w:type="gramStart"/>
            <w:r>
              <w:rPr>
                <w:rFonts w:ascii="Tondo" w:hAnsi="Tondo"/>
              </w:rPr>
              <w:t>Considerations</w:t>
            </w:r>
            <w:proofErr w:type="gramEnd"/>
            <w:r>
              <w:rPr>
                <w:rFonts w:ascii="Tondo" w:hAnsi="Tondo"/>
              </w:rPr>
              <w:t xml:space="preserve"> box</w:t>
            </w:r>
          </w:p>
        </w:tc>
        <w:tc>
          <w:tcPr>
            <w:tcW w:w="5313" w:type="dxa"/>
            <w:shd w:val="clear" w:color="auto" w:fill="auto"/>
          </w:tcPr>
          <w:p w14:paraId="78AAD0BE" w14:textId="77777777" w:rsidR="00EB7BB4" w:rsidRDefault="00EF6AED" w:rsidP="00BA39D9">
            <w:pPr>
              <w:rPr>
                <w:rFonts w:ascii="Tondo" w:hAnsi="Tondo"/>
              </w:rPr>
            </w:pPr>
            <w:r>
              <w:rPr>
                <w:rFonts w:ascii="Tondo" w:hAnsi="Tondo"/>
              </w:rPr>
              <w:t>Largely unchanged, expect for the changing of the word “gender” to the word “sex”, so it now reads:</w:t>
            </w:r>
          </w:p>
          <w:p w14:paraId="30DF3B18" w14:textId="36937219" w:rsidR="00EF6AED" w:rsidRPr="00222D45" w:rsidRDefault="00EF6AED" w:rsidP="00EF6AED">
            <w:pPr>
              <w:rPr>
                <w:rFonts w:ascii="Tondo" w:hAnsi="Tondo"/>
              </w:rPr>
            </w:pPr>
            <w:r>
              <w:rPr>
                <w:rFonts w:ascii="Tondo" w:hAnsi="Tondo"/>
              </w:rPr>
              <w:t>“</w:t>
            </w:r>
            <w:r w:rsidRPr="00EF6AED">
              <w:rPr>
                <w:rFonts w:ascii="Tondo" w:hAnsi="Tondo"/>
              </w:rPr>
              <w:t>Schools and colleges should consider the makeup of their own pupil and student body,</w:t>
            </w:r>
            <w:r>
              <w:rPr>
                <w:rFonts w:ascii="Tondo" w:hAnsi="Tondo"/>
              </w:rPr>
              <w:t xml:space="preserve"> </w:t>
            </w:r>
            <w:r w:rsidRPr="00EF6AED">
              <w:rPr>
                <w:rFonts w:ascii="Tondo" w:hAnsi="Tondo"/>
              </w:rPr>
              <w:t>including the sex and age range of its pupils and students</w:t>
            </w:r>
            <w:r>
              <w:rPr>
                <w:rFonts w:ascii="Tondo" w:hAnsi="Tondo"/>
              </w:rPr>
              <w:t xml:space="preserve"> […] </w:t>
            </w:r>
            <w:r w:rsidRPr="00EF6AED">
              <w:rPr>
                <w:rFonts w:ascii="Tondo" w:hAnsi="Tondo"/>
              </w:rPr>
              <w:t>evidence shows that girls are more likely to be subject to sexual</w:t>
            </w:r>
            <w:r>
              <w:rPr>
                <w:rFonts w:ascii="Tondo" w:hAnsi="Tondo"/>
              </w:rPr>
              <w:t xml:space="preserve"> </w:t>
            </w:r>
            <w:r w:rsidRPr="00EF6AED">
              <w:rPr>
                <w:rFonts w:ascii="Tondo" w:hAnsi="Tondo"/>
              </w:rPr>
              <w:t>violence and sexual harassment than boys, and that boys are more likely to perpetrate</w:t>
            </w:r>
            <w:r>
              <w:rPr>
                <w:rFonts w:ascii="Tondo" w:hAnsi="Tondo"/>
              </w:rPr>
              <w:t xml:space="preserve"> </w:t>
            </w:r>
            <w:r w:rsidRPr="00EF6AED">
              <w:rPr>
                <w:rFonts w:ascii="Tondo" w:hAnsi="Tondo"/>
              </w:rPr>
              <w:t>such violence and harassment.</w:t>
            </w:r>
            <w:r>
              <w:rPr>
                <w:rFonts w:ascii="Tondo" w:hAnsi="Tondo"/>
              </w:rPr>
              <w:t>”</w:t>
            </w:r>
          </w:p>
        </w:tc>
        <w:tc>
          <w:tcPr>
            <w:tcW w:w="1622" w:type="dxa"/>
            <w:shd w:val="clear" w:color="auto" w:fill="auto"/>
          </w:tcPr>
          <w:p w14:paraId="7EEACD79" w14:textId="3E7B3279" w:rsidR="00EB7BB4" w:rsidRPr="00222D45" w:rsidRDefault="00EB7BB4" w:rsidP="00BA39D9">
            <w:pPr>
              <w:rPr>
                <w:rFonts w:ascii="Tondo" w:hAnsi="Tondo"/>
              </w:rPr>
            </w:pPr>
          </w:p>
        </w:tc>
        <w:tc>
          <w:tcPr>
            <w:tcW w:w="4970" w:type="dxa"/>
            <w:shd w:val="clear" w:color="auto" w:fill="auto"/>
          </w:tcPr>
          <w:p w14:paraId="10D99F49" w14:textId="10739DD8" w:rsidR="00EB7BB4" w:rsidRPr="00222D45" w:rsidRDefault="00EB7BB4" w:rsidP="00BA39D9">
            <w:pPr>
              <w:rPr>
                <w:rFonts w:ascii="Tondo" w:hAnsi="Tondo"/>
              </w:rPr>
            </w:pPr>
          </w:p>
        </w:tc>
      </w:tr>
      <w:tr w:rsidR="00EB7BB4" w:rsidRPr="00222D45" w14:paraId="37E1861F" w14:textId="77777777" w:rsidTr="00EB7BB4">
        <w:tc>
          <w:tcPr>
            <w:tcW w:w="14596" w:type="dxa"/>
            <w:gridSpan w:val="5"/>
            <w:shd w:val="clear" w:color="auto" w:fill="69CDE8"/>
          </w:tcPr>
          <w:p w14:paraId="2201BDF8" w14:textId="1AAA9858" w:rsidR="00EB7BB4" w:rsidRPr="00222D45" w:rsidRDefault="00EF6AED" w:rsidP="00EF6AED">
            <w:pPr>
              <w:rPr>
                <w:rFonts w:ascii="Tondo" w:hAnsi="Tondo"/>
                <w:b/>
                <w:bCs/>
              </w:rPr>
            </w:pPr>
            <w:r w:rsidRPr="00EF6AED">
              <w:rPr>
                <w:rFonts w:ascii="Tondo" w:hAnsi="Tondo"/>
                <w:b/>
                <w:bCs/>
              </w:rPr>
              <w:t>Part three: A whole school or college approach to</w:t>
            </w:r>
            <w:r>
              <w:rPr>
                <w:rFonts w:ascii="Tondo" w:hAnsi="Tondo"/>
                <w:b/>
                <w:bCs/>
              </w:rPr>
              <w:t xml:space="preserve"> </w:t>
            </w:r>
            <w:r w:rsidRPr="00EF6AED">
              <w:rPr>
                <w:rFonts w:ascii="Tondo" w:hAnsi="Tondo"/>
                <w:b/>
                <w:bCs/>
              </w:rPr>
              <w:t>preventing child on child sexual violence and sexual</w:t>
            </w:r>
            <w:r>
              <w:rPr>
                <w:rFonts w:ascii="Tondo" w:hAnsi="Tondo"/>
                <w:b/>
                <w:bCs/>
              </w:rPr>
              <w:t xml:space="preserve"> </w:t>
            </w:r>
            <w:r w:rsidRPr="00EF6AED">
              <w:rPr>
                <w:rFonts w:ascii="Tondo" w:hAnsi="Tondo"/>
                <w:b/>
                <w:bCs/>
              </w:rPr>
              <w:t>harassment</w:t>
            </w:r>
          </w:p>
        </w:tc>
      </w:tr>
      <w:tr w:rsidR="000B5C75" w:rsidRPr="00222D45" w14:paraId="0597F030" w14:textId="77777777" w:rsidTr="00D80987">
        <w:tc>
          <w:tcPr>
            <w:tcW w:w="747" w:type="dxa"/>
            <w:shd w:val="clear" w:color="auto" w:fill="auto"/>
          </w:tcPr>
          <w:p w14:paraId="3F2E70A9" w14:textId="17B69B30" w:rsidR="000B5C75" w:rsidRPr="00222D45" w:rsidRDefault="00EF6AED" w:rsidP="008C1B49">
            <w:pPr>
              <w:jc w:val="center"/>
              <w:rPr>
                <w:rFonts w:ascii="Tondo" w:hAnsi="Tondo"/>
              </w:rPr>
            </w:pPr>
            <w:r>
              <w:rPr>
                <w:rFonts w:ascii="Tondo" w:hAnsi="Tondo"/>
              </w:rPr>
              <w:t>17</w:t>
            </w:r>
          </w:p>
        </w:tc>
        <w:tc>
          <w:tcPr>
            <w:tcW w:w="1944" w:type="dxa"/>
            <w:shd w:val="clear" w:color="auto" w:fill="auto"/>
          </w:tcPr>
          <w:p w14:paraId="73A4D43D" w14:textId="7CC4FF00" w:rsidR="000B5C75" w:rsidRPr="00222D45" w:rsidRDefault="00EF6AED" w:rsidP="008C1B49">
            <w:pPr>
              <w:jc w:val="center"/>
              <w:rPr>
                <w:rFonts w:ascii="Tondo" w:hAnsi="Tondo"/>
              </w:rPr>
            </w:pPr>
            <w:r>
              <w:rPr>
                <w:rFonts w:ascii="Tondo" w:hAnsi="Tondo"/>
              </w:rPr>
              <w:t>29</w:t>
            </w:r>
          </w:p>
        </w:tc>
        <w:tc>
          <w:tcPr>
            <w:tcW w:w="5313" w:type="dxa"/>
            <w:shd w:val="clear" w:color="auto" w:fill="auto"/>
          </w:tcPr>
          <w:p w14:paraId="0045CFD4" w14:textId="77777777" w:rsidR="000B5C75" w:rsidRDefault="00EF6AED" w:rsidP="00BA39D9">
            <w:pPr>
              <w:rPr>
                <w:rFonts w:ascii="Tondo" w:hAnsi="Tondo"/>
              </w:rPr>
            </w:pPr>
            <w:r>
              <w:rPr>
                <w:rFonts w:ascii="Tondo" w:hAnsi="Tondo"/>
              </w:rPr>
              <w:t>Addition of statement to reflect that the best interests of the child are paramount:</w:t>
            </w:r>
          </w:p>
          <w:p w14:paraId="156F27FE" w14:textId="0DD0DC25" w:rsidR="00EF6AED" w:rsidRPr="00222D45" w:rsidRDefault="00EF6AED" w:rsidP="00EF6AED">
            <w:pPr>
              <w:rPr>
                <w:rFonts w:ascii="Tondo" w:hAnsi="Tondo"/>
              </w:rPr>
            </w:pPr>
            <w:r>
              <w:rPr>
                <w:rFonts w:ascii="Tondo" w:hAnsi="Tondo"/>
              </w:rPr>
              <w:t>“</w:t>
            </w:r>
            <w:r w:rsidRPr="00EF6AED">
              <w:rPr>
                <w:rFonts w:ascii="Tondo" w:hAnsi="Tondo"/>
              </w:rPr>
              <w:t>Ultimately, all systems, processes and policies should operate with the best interests of</w:t>
            </w:r>
            <w:r>
              <w:rPr>
                <w:rFonts w:ascii="Tondo" w:hAnsi="Tondo"/>
              </w:rPr>
              <w:t xml:space="preserve"> </w:t>
            </w:r>
            <w:r w:rsidRPr="00EF6AED">
              <w:rPr>
                <w:rFonts w:ascii="Tondo" w:hAnsi="Tondo"/>
              </w:rPr>
              <w:t>the child at their heart.</w:t>
            </w:r>
            <w:r>
              <w:rPr>
                <w:rFonts w:ascii="Tondo" w:hAnsi="Tondo"/>
              </w:rPr>
              <w:t>”</w:t>
            </w:r>
          </w:p>
        </w:tc>
        <w:tc>
          <w:tcPr>
            <w:tcW w:w="1622" w:type="dxa"/>
            <w:shd w:val="clear" w:color="auto" w:fill="auto"/>
          </w:tcPr>
          <w:p w14:paraId="645DEA40" w14:textId="1DFD7AAC" w:rsidR="000B5C75" w:rsidRPr="00222D45" w:rsidRDefault="00EF6AED" w:rsidP="00BA39D9">
            <w:pPr>
              <w:rPr>
                <w:rFonts w:ascii="Tondo" w:hAnsi="Tondo"/>
              </w:rPr>
            </w:pPr>
            <w:r>
              <w:rPr>
                <w:rFonts w:ascii="Tondo" w:hAnsi="Tondo"/>
              </w:rPr>
              <w:t>Child centred approach</w:t>
            </w:r>
          </w:p>
        </w:tc>
        <w:tc>
          <w:tcPr>
            <w:tcW w:w="4970" w:type="dxa"/>
            <w:shd w:val="clear" w:color="auto" w:fill="auto"/>
          </w:tcPr>
          <w:p w14:paraId="01F0952F" w14:textId="77777777" w:rsidR="000B5C75" w:rsidRPr="00222D45" w:rsidRDefault="000B5C75" w:rsidP="00BA39D9">
            <w:pPr>
              <w:rPr>
                <w:rFonts w:ascii="Tondo" w:hAnsi="Tondo"/>
              </w:rPr>
            </w:pPr>
          </w:p>
        </w:tc>
      </w:tr>
      <w:tr w:rsidR="00C20F72" w:rsidRPr="00222D45" w14:paraId="0E44D217" w14:textId="77777777" w:rsidTr="00D80987">
        <w:tc>
          <w:tcPr>
            <w:tcW w:w="747" w:type="dxa"/>
            <w:shd w:val="clear" w:color="auto" w:fill="auto"/>
          </w:tcPr>
          <w:p w14:paraId="0C7EAF0E" w14:textId="67B35A70" w:rsidR="00C20F72" w:rsidRDefault="00EF6AED" w:rsidP="008C1B49">
            <w:pPr>
              <w:jc w:val="center"/>
              <w:rPr>
                <w:rFonts w:ascii="Tondo" w:hAnsi="Tondo"/>
              </w:rPr>
            </w:pPr>
            <w:r>
              <w:rPr>
                <w:rFonts w:ascii="Tondo" w:hAnsi="Tondo"/>
              </w:rPr>
              <w:t>17</w:t>
            </w:r>
          </w:p>
        </w:tc>
        <w:tc>
          <w:tcPr>
            <w:tcW w:w="1944" w:type="dxa"/>
            <w:shd w:val="clear" w:color="auto" w:fill="auto"/>
          </w:tcPr>
          <w:p w14:paraId="730E6B19" w14:textId="56EF684F" w:rsidR="00C20F72" w:rsidRDefault="00EF6AED" w:rsidP="008C1B49">
            <w:pPr>
              <w:jc w:val="center"/>
              <w:rPr>
                <w:rFonts w:ascii="Tondo" w:hAnsi="Tondo"/>
              </w:rPr>
            </w:pPr>
            <w:r>
              <w:rPr>
                <w:rFonts w:ascii="Tondo" w:hAnsi="Tondo"/>
              </w:rPr>
              <w:t>31</w:t>
            </w:r>
          </w:p>
        </w:tc>
        <w:tc>
          <w:tcPr>
            <w:tcW w:w="5313" w:type="dxa"/>
            <w:shd w:val="clear" w:color="auto" w:fill="auto"/>
          </w:tcPr>
          <w:p w14:paraId="0B2F9512" w14:textId="56A5D1BB" w:rsidR="00C20F72" w:rsidRDefault="00EF6AED" w:rsidP="00BA39D9">
            <w:pPr>
              <w:rPr>
                <w:rFonts w:ascii="Tondo" w:hAnsi="Tondo"/>
              </w:rPr>
            </w:pPr>
            <w:r>
              <w:rPr>
                <w:rFonts w:ascii="Tondo" w:hAnsi="Tondo"/>
              </w:rPr>
              <w:t xml:space="preserve">Addition of paragraph reflecting the requirements of </w:t>
            </w:r>
            <w:proofErr w:type="spellStart"/>
            <w:r>
              <w:rPr>
                <w:rFonts w:ascii="Tondo" w:hAnsi="Tondo"/>
              </w:rPr>
              <w:t>KCSiE</w:t>
            </w:r>
            <w:proofErr w:type="spellEnd"/>
            <w:r>
              <w:rPr>
                <w:rFonts w:ascii="Tondo" w:hAnsi="Tondo"/>
              </w:rPr>
              <w:t xml:space="preserve"> 2021 that systems should allow for easy confidential reporting and that those reporting violence or harassment with know their concerns will be taken seriously.</w:t>
            </w:r>
          </w:p>
        </w:tc>
        <w:tc>
          <w:tcPr>
            <w:tcW w:w="1622" w:type="dxa"/>
            <w:shd w:val="clear" w:color="auto" w:fill="auto"/>
          </w:tcPr>
          <w:p w14:paraId="3B769819" w14:textId="47737D05" w:rsidR="00C20F72" w:rsidRDefault="00EF6AED" w:rsidP="00BA39D9">
            <w:pPr>
              <w:rPr>
                <w:rFonts w:ascii="Tondo" w:hAnsi="Tondo"/>
              </w:rPr>
            </w:pPr>
            <w:r>
              <w:rPr>
                <w:rFonts w:ascii="Tondo" w:hAnsi="Tondo"/>
              </w:rPr>
              <w:t>Child centred approach</w:t>
            </w:r>
          </w:p>
        </w:tc>
        <w:tc>
          <w:tcPr>
            <w:tcW w:w="4970" w:type="dxa"/>
            <w:shd w:val="clear" w:color="auto" w:fill="auto"/>
          </w:tcPr>
          <w:p w14:paraId="4FB5D8A3" w14:textId="77777777" w:rsidR="00C20F72" w:rsidRPr="00222D45" w:rsidRDefault="00C20F72" w:rsidP="00BA39D9">
            <w:pPr>
              <w:rPr>
                <w:rFonts w:ascii="Tondo" w:hAnsi="Tondo"/>
              </w:rPr>
            </w:pPr>
          </w:p>
        </w:tc>
      </w:tr>
      <w:tr w:rsidR="00EF6AED" w:rsidRPr="00222D45" w14:paraId="36D60262" w14:textId="77777777" w:rsidTr="00D80987">
        <w:tc>
          <w:tcPr>
            <w:tcW w:w="747" w:type="dxa"/>
            <w:shd w:val="clear" w:color="auto" w:fill="auto"/>
          </w:tcPr>
          <w:p w14:paraId="285CF8CF" w14:textId="6E868932" w:rsidR="00EF6AED" w:rsidRDefault="00EF6AED" w:rsidP="008C1B49">
            <w:pPr>
              <w:jc w:val="center"/>
              <w:rPr>
                <w:rFonts w:ascii="Tondo" w:hAnsi="Tondo"/>
              </w:rPr>
            </w:pPr>
            <w:r>
              <w:rPr>
                <w:rFonts w:ascii="Tondo" w:hAnsi="Tondo"/>
              </w:rPr>
              <w:t>17</w:t>
            </w:r>
          </w:p>
        </w:tc>
        <w:tc>
          <w:tcPr>
            <w:tcW w:w="1944" w:type="dxa"/>
            <w:shd w:val="clear" w:color="auto" w:fill="auto"/>
          </w:tcPr>
          <w:p w14:paraId="11C1DAB8" w14:textId="32A6AB11" w:rsidR="00EF6AED" w:rsidRDefault="00EF6AED" w:rsidP="008C1B49">
            <w:pPr>
              <w:jc w:val="center"/>
              <w:rPr>
                <w:rFonts w:ascii="Tondo" w:hAnsi="Tondo"/>
              </w:rPr>
            </w:pPr>
            <w:r>
              <w:rPr>
                <w:rFonts w:ascii="Tondo" w:hAnsi="Tondo"/>
              </w:rPr>
              <w:t>32</w:t>
            </w:r>
            <w:r w:rsidR="00052089">
              <w:rPr>
                <w:rFonts w:ascii="Tondo" w:hAnsi="Tondo"/>
              </w:rPr>
              <w:t>-34</w:t>
            </w:r>
          </w:p>
        </w:tc>
        <w:tc>
          <w:tcPr>
            <w:tcW w:w="5313" w:type="dxa"/>
            <w:shd w:val="clear" w:color="auto" w:fill="auto"/>
          </w:tcPr>
          <w:p w14:paraId="54F07D30" w14:textId="4B8E51A9" w:rsidR="00EF6AED" w:rsidRDefault="00052089" w:rsidP="00BA39D9">
            <w:pPr>
              <w:rPr>
                <w:rFonts w:ascii="Tondo" w:hAnsi="Tondo"/>
              </w:rPr>
            </w:pPr>
            <w:r>
              <w:rPr>
                <w:rFonts w:ascii="Tondo" w:hAnsi="Tondo"/>
              </w:rPr>
              <w:t xml:space="preserve">This section in the original guidance was termed “contextual safeguarding”.  It has been rephrased as “extra-familial harms” and has been added to.  The emphasis is around understanding that children can be at risk of exploitation, serious youth violence and other abuse, </w:t>
            </w:r>
            <w:proofErr w:type="gramStart"/>
            <w:r>
              <w:rPr>
                <w:rFonts w:ascii="Tondo" w:hAnsi="Tondo"/>
              </w:rPr>
              <w:t>and also</w:t>
            </w:r>
            <w:proofErr w:type="gramEnd"/>
            <w:r>
              <w:rPr>
                <w:rFonts w:ascii="Tondo" w:hAnsi="Tondo"/>
              </w:rPr>
              <w:t xml:space="preserve"> that technology can have a role part in this.</w:t>
            </w:r>
          </w:p>
        </w:tc>
        <w:tc>
          <w:tcPr>
            <w:tcW w:w="1622" w:type="dxa"/>
            <w:shd w:val="clear" w:color="auto" w:fill="auto"/>
          </w:tcPr>
          <w:p w14:paraId="28FF8B0E" w14:textId="7D217C3D" w:rsidR="00EF6AED" w:rsidRDefault="00052089" w:rsidP="00BA39D9">
            <w:pPr>
              <w:rPr>
                <w:rFonts w:ascii="Tondo" w:hAnsi="Tondo"/>
              </w:rPr>
            </w:pPr>
            <w:r>
              <w:rPr>
                <w:rFonts w:ascii="Tondo" w:hAnsi="Tondo"/>
              </w:rPr>
              <w:t>Contextual safeguarding</w:t>
            </w:r>
          </w:p>
        </w:tc>
        <w:tc>
          <w:tcPr>
            <w:tcW w:w="4970" w:type="dxa"/>
            <w:shd w:val="clear" w:color="auto" w:fill="auto"/>
          </w:tcPr>
          <w:p w14:paraId="6E867226" w14:textId="77777777" w:rsidR="00EF6AED" w:rsidRPr="00222D45" w:rsidRDefault="00EF6AED" w:rsidP="00BA39D9">
            <w:pPr>
              <w:rPr>
                <w:rFonts w:ascii="Tondo" w:hAnsi="Tondo"/>
              </w:rPr>
            </w:pPr>
          </w:p>
        </w:tc>
      </w:tr>
      <w:tr w:rsidR="00EF6AED" w:rsidRPr="00222D45" w14:paraId="3CEAD662" w14:textId="77777777" w:rsidTr="00D80987">
        <w:tc>
          <w:tcPr>
            <w:tcW w:w="747" w:type="dxa"/>
            <w:shd w:val="clear" w:color="auto" w:fill="auto"/>
          </w:tcPr>
          <w:p w14:paraId="7D34F285" w14:textId="378ACF27" w:rsidR="00EF6AED" w:rsidRDefault="00052089" w:rsidP="008C1B49">
            <w:pPr>
              <w:jc w:val="center"/>
              <w:rPr>
                <w:rFonts w:ascii="Tondo" w:hAnsi="Tondo"/>
              </w:rPr>
            </w:pPr>
            <w:r>
              <w:rPr>
                <w:rFonts w:ascii="Tondo" w:hAnsi="Tondo"/>
              </w:rPr>
              <w:t>18</w:t>
            </w:r>
          </w:p>
        </w:tc>
        <w:tc>
          <w:tcPr>
            <w:tcW w:w="1944" w:type="dxa"/>
            <w:shd w:val="clear" w:color="auto" w:fill="auto"/>
          </w:tcPr>
          <w:p w14:paraId="7348D405" w14:textId="3B1C9D0D" w:rsidR="00EF6AED" w:rsidRDefault="00052089" w:rsidP="008C1B49">
            <w:pPr>
              <w:jc w:val="center"/>
              <w:rPr>
                <w:rFonts w:ascii="Tondo" w:hAnsi="Tondo"/>
              </w:rPr>
            </w:pPr>
            <w:r>
              <w:rPr>
                <w:rFonts w:ascii="Tondo" w:hAnsi="Tondo"/>
              </w:rPr>
              <w:t>38</w:t>
            </w:r>
          </w:p>
        </w:tc>
        <w:tc>
          <w:tcPr>
            <w:tcW w:w="5313" w:type="dxa"/>
            <w:shd w:val="clear" w:color="auto" w:fill="auto"/>
          </w:tcPr>
          <w:p w14:paraId="4BFABFD3" w14:textId="3A61830B" w:rsidR="00EF6AED" w:rsidRDefault="00052089" w:rsidP="00BA39D9">
            <w:pPr>
              <w:rPr>
                <w:rFonts w:ascii="Tondo" w:hAnsi="Tondo"/>
              </w:rPr>
            </w:pPr>
            <w:r>
              <w:rPr>
                <w:rFonts w:ascii="Tondo" w:hAnsi="Tondo"/>
              </w:rPr>
              <w:t>Removal of the term gender roles in the list of issues that an effective curriculum may tackle.</w:t>
            </w:r>
          </w:p>
        </w:tc>
        <w:tc>
          <w:tcPr>
            <w:tcW w:w="1622" w:type="dxa"/>
            <w:shd w:val="clear" w:color="auto" w:fill="auto"/>
          </w:tcPr>
          <w:p w14:paraId="6D9DCCCE" w14:textId="5E4D408C" w:rsidR="00EF6AED" w:rsidRDefault="00EF6AED" w:rsidP="00BA39D9">
            <w:pPr>
              <w:rPr>
                <w:rFonts w:ascii="Tondo" w:hAnsi="Tondo"/>
              </w:rPr>
            </w:pPr>
          </w:p>
        </w:tc>
        <w:tc>
          <w:tcPr>
            <w:tcW w:w="4970" w:type="dxa"/>
            <w:shd w:val="clear" w:color="auto" w:fill="auto"/>
          </w:tcPr>
          <w:p w14:paraId="59C6DBCB" w14:textId="174C1EFB" w:rsidR="00EF6AED" w:rsidRPr="00222D45" w:rsidRDefault="00EF6AED" w:rsidP="00BA39D9">
            <w:pPr>
              <w:rPr>
                <w:rFonts w:ascii="Tondo" w:hAnsi="Tondo"/>
              </w:rPr>
            </w:pPr>
          </w:p>
        </w:tc>
      </w:tr>
      <w:tr w:rsidR="00EF6AED" w:rsidRPr="00222D45" w14:paraId="56FAEEA5" w14:textId="77777777" w:rsidTr="00D80987">
        <w:tc>
          <w:tcPr>
            <w:tcW w:w="747" w:type="dxa"/>
            <w:shd w:val="clear" w:color="auto" w:fill="auto"/>
          </w:tcPr>
          <w:p w14:paraId="6F5BAE99" w14:textId="0976B5F2" w:rsidR="00EF6AED" w:rsidRDefault="00052089" w:rsidP="008C1B49">
            <w:pPr>
              <w:jc w:val="center"/>
              <w:rPr>
                <w:rFonts w:ascii="Tondo" w:hAnsi="Tondo"/>
              </w:rPr>
            </w:pPr>
            <w:r>
              <w:rPr>
                <w:rFonts w:ascii="Tondo" w:hAnsi="Tondo"/>
              </w:rPr>
              <w:t>19</w:t>
            </w:r>
          </w:p>
        </w:tc>
        <w:tc>
          <w:tcPr>
            <w:tcW w:w="1944" w:type="dxa"/>
            <w:shd w:val="clear" w:color="auto" w:fill="auto"/>
          </w:tcPr>
          <w:p w14:paraId="2B461DDE" w14:textId="4269FB59" w:rsidR="00EF6AED" w:rsidRDefault="00052089" w:rsidP="008C1B49">
            <w:pPr>
              <w:jc w:val="center"/>
              <w:rPr>
                <w:rFonts w:ascii="Tondo" w:hAnsi="Tondo"/>
              </w:rPr>
            </w:pPr>
            <w:r>
              <w:rPr>
                <w:rFonts w:ascii="Tondo" w:hAnsi="Tondo"/>
              </w:rPr>
              <w:t>39</w:t>
            </w:r>
            <w:r w:rsidR="00204D9F">
              <w:rPr>
                <w:rFonts w:ascii="Tondo" w:hAnsi="Tondo"/>
              </w:rPr>
              <w:t>-42</w:t>
            </w:r>
          </w:p>
        </w:tc>
        <w:tc>
          <w:tcPr>
            <w:tcW w:w="5313" w:type="dxa"/>
            <w:shd w:val="clear" w:color="auto" w:fill="auto"/>
          </w:tcPr>
          <w:p w14:paraId="3BF491E9" w14:textId="3D7E51DA" w:rsidR="00EF6AED" w:rsidRDefault="00052089" w:rsidP="00BA39D9">
            <w:pPr>
              <w:rPr>
                <w:rFonts w:ascii="Tondo" w:hAnsi="Tondo"/>
              </w:rPr>
            </w:pPr>
            <w:r>
              <w:rPr>
                <w:rFonts w:ascii="Tondo" w:hAnsi="Tondo"/>
              </w:rPr>
              <w:t>The guidance has been changed to reflect the changes in requirements for teaching of relationships and sex</w:t>
            </w:r>
            <w:r w:rsidR="00204D9F">
              <w:rPr>
                <w:rFonts w:ascii="Tondo" w:hAnsi="Tondo"/>
              </w:rPr>
              <w:t xml:space="preserve"> education.</w:t>
            </w:r>
          </w:p>
        </w:tc>
        <w:tc>
          <w:tcPr>
            <w:tcW w:w="1622" w:type="dxa"/>
            <w:shd w:val="clear" w:color="auto" w:fill="auto"/>
          </w:tcPr>
          <w:p w14:paraId="308E5D54" w14:textId="1BC93D57" w:rsidR="00EF6AED" w:rsidRDefault="00204D9F" w:rsidP="00BA39D9">
            <w:pPr>
              <w:rPr>
                <w:rFonts w:ascii="Tondo" w:hAnsi="Tondo"/>
              </w:rPr>
            </w:pPr>
            <w:r>
              <w:rPr>
                <w:rFonts w:ascii="Tondo" w:hAnsi="Tondo"/>
              </w:rPr>
              <w:t>RSE</w:t>
            </w:r>
          </w:p>
        </w:tc>
        <w:tc>
          <w:tcPr>
            <w:tcW w:w="4970" w:type="dxa"/>
            <w:shd w:val="clear" w:color="auto" w:fill="auto"/>
          </w:tcPr>
          <w:p w14:paraId="609F3681" w14:textId="77777777" w:rsidR="00EF6AED" w:rsidRPr="00222D45" w:rsidRDefault="00EF6AED" w:rsidP="00BA39D9">
            <w:pPr>
              <w:rPr>
                <w:rFonts w:ascii="Tondo" w:hAnsi="Tondo"/>
              </w:rPr>
            </w:pPr>
          </w:p>
        </w:tc>
      </w:tr>
      <w:tr w:rsidR="00EF6AED" w:rsidRPr="00222D45" w14:paraId="0A3DF626" w14:textId="77777777" w:rsidTr="00D80987">
        <w:tc>
          <w:tcPr>
            <w:tcW w:w="747" w:type="dxa"/>
            <w:shd w:val="clear" w:color="auto" w:fill="auto"/>
          </w:tcPr>
          <w:p w14:paraId="0C7DABF1" w14:textId="7CFD0685" w:rsidR="00EF6AED" w:rsidRDefault="00204D9F" w:rsidP="008C1B49">
            <w:pPr>
              <w:jc w:val="center"/>
              <w:rPr>
                <w:rFonts w:ascii="Tondo" w:hAnsi="Tondo"/>
              </w:rPr>
            </w:pPr>
            <w:r>
              <w:rPr>
                <w:rFonts w:ascii="Tondo" w:hAnsi="Tondo"/>
              </w:rPr>
              <w:t>20</w:t>
            </w:r>
          </w:p>
        </w:tc>
        <w:tc>
          <w:tcPr>
            <w:tcW w:w="1944" w:type="dxa"/>
            <w:shd w:val="clear" w:color="auto" w:fill="auto"/>
          </w:tcPr>
          <w:p w14:paraId="4C3A04DB" w14:textId="40808EB9" w:rsidR="00EF6AED" w:rsidRDefault="00204D9F" w:rsidP="008C1B49">
            <w:pPr>
              <w:jc w:val="center"/>
              <w:rPr>
                <w:rFonts w:ascii="Tondo" w:hAnsi="Tondo"/>
              </w:rPr>
            </w:pPr>
            <w:r>
              <w:rPr>
                <w:rFonts w:ascii="Tondo" w:hAnsi="Tondo"/>
              </w:rPr>
              <w:t>45</w:t>
            </w:r>
          </w:p>
        </w:tc>
        <w:tc>
          <w:tcPr>
            <w:tcW w:w="5313" w:type="dxa"/>
            <w:shd w:val="clear" w:color="auto" w:fill="auto"/>
          </w:tcPr>
          <w:p w14:paraId="68D92A43" w14:textId="1BF06D54" w:rsidR="00EF6AED" w:rsidRDefault="00204D9F" w:rsidP="00BA39D9">
            <w:pPr>
              <w:rPr>
                <w:rFonts w:ascii="Tondo" w:hAnsi="Tondo"/>
              </w:rPr>
            </w:pPr>
            <w:r>
              <w:rPr>
                <w:rFonts w:ascii="Tondo" w:hAnsi="Tondo"/>
              </w:rPr>
              <w:t>Emphasis added to reflect that whilst there is specialist support available, the DSL in the setting should know how and where to seek support from.</w:t>
            </w:r>
          </w:p>
        </w:tc>
        <w:tc>
          <w:tcPr>
            <w:tcW w:w="1622" w:type="dxa"/>
            <w:shd w:val="clear" w:color="auto" w:fill="auto"/>
          </w:tcPr>
          <w:p w14:paraId="6E372AF9" w14:textId="2011D219" w:rsidR="00EF6AED" w:rsidRDefault="00204D9F" w:rsidP="00BA39D9">
            <w:pPr>
              <w:rPr>
                <w:rFonts w:ascii="Tondo" w:hAnsi="Tondo"/>
              </w:rPr>
            </w:pPr>
            <w:r>
              <w:rPr>
                <w:rFonts w:ascii="Tondo" w:hAnsi="Tondo"/>
              </w:rPr>
              <w:t>DSL</w:t>
            </w:r>
          </w:p>
        </w:tc>
        <w:tc>
          <w:tcPr>
            <w:tcW w:w="4970" w:type="dxa"/>
            <w:shd w:val="clear" w:color="auto" w:fill="auto"/>
          </w:tcPr>
          <w:p w14:paraId="55787C1B" w14:textId="77777777" w:rsidR="00EF6AED" w:rsidRPr="00222D45" w:rsidRDefault="00EF6AED" w:rsidP="00BA39D9">
            <w:pPr>
              <w:rPr>
                <w:rFonts w:ascii="Tondo" w:hAnsi="Tondo"/>
              </w:rPr>
            </w:pPr>
          </w:p>
        </w:tc>
      </w:tr>
      <w:tr w:rsidR="00EB7BB4" w:rsidRPr="00222D45" w14:paraId="41003375" w14:textId="77777777" w:rsidTr="00EB7BB4">
        <w:tc>
          <w:tcPr>
            <w:tcW w:w="14596" w:type="dxa"/>
            <w:gridSpan w:val="5"/>
            <w:shd w:val="clear" w:color="auto" w:fill="69CDE8"/>
          </w:tcPr>
          <w:p w14:paraId="709937D7" w14:textId="2D359C6C" w:rsidR="00EB7BB4" w:rsidRPr="00222D45" w:rsidRDefault="00204D9F" w:rsidP="00204D9F">
            <w:pPr>
              <w:rPr>
                <w:rFonts w:ascii="Tondo" w:hAnsi="Tondo"/>
                <w:b/>
                <w:bCs/>
              </w:rPr>
            </w:pPr>
            <w:r w:rsidRPr="00204D9F">
              <w:rPr>
                <w:rFonts w:ascii="Tondo" w:hAnsi="Tondo"/>
                <w:b/>
                <w:bCs/>
              </w:rPr>
              <w:t>Part four: Responding to reports of sexual violence</w:t>
            </w:r>
            <w:r>
              <w:rPr>
                <w:rFonts w:ascii="Tondo" w:hAnsi="Tondo"/>
                <w:b/>
                <w:bCs/>
              </w:rPr>
              <w:t xml:space="preserve"> </w:t>
            </w:r>
            <w:r w:rsidRPr="00204D9F">
              <w:rPr>
                <w:rFonts w:ascii="Tondo" w:hAnsi="Tondo"/>
                <w:b/>
                <w:bCs/>
              </w:rPr>
              <w:t>and sexual harassment</w:t>
            </w:r>
          </w:p>
        </w:tc>
      </w:tr>
      <w:tr w:rsidR="00EB7BB4" w:rsidRPr="00222D45" w14:paraId="1A14DBD2" w14:textId="77777777" w:rsidTr="00D80987">
        <w:tc>
          <w:tcPr>
            <w:tcW w:w="747" w:type="dxa"/>
            <w:shd w:val="clear" w:color="auto" w:fill="auto"/>
          </w:tcPr>
          <w:p w14:paraId="1E7DDDE4" w14:textId="6074D10F" w:rsidR="00EB7BB4" w:rsidRPr="00222D45" w:rsidRDefault="00204D9F" w:rsidP="00064A8C">
            <w:pPr>
              <w:jc w:val="center"/>
              <w:rPr>
                <w:rFonts w:ascii="Tondo" w:hAnsi="Tondo"/>
              </w:rPr>
            </w:pPr>
            <w:r>
              <w:rPr>
                <w:rFonts w:ascii="Tondo" w:hAnsi="Tondo"/>
              </w:rPr>
              <w:t>22</w:t>
            </w:r>
          </w:p>
        </w:tc>
        <w:tc>
          <w:tcPr>
            <w:tcW w:w="1944" w:type="dxa"/>
            <w:shd w:val="clear" w:color="auto" w:fill="auto"/>
          </w:tcPr>
          <w:p w14:paraId="5DB629A0" w14:textId="5BD972F9" w:rsidR="00EB7BB4" w:rsidRPr="00222D45" w:rsidRDefault="00204D9F" w:rsidP="00064A8C">
            <w:pPr>
              <w:jc w:val="center"/>
              <w:rPr>
                <w:rFonts w:ascii="Tondo" w:hAnsi="Tondo"/>
              </w:rPr>
            </w:pPr>
            <w:r>
              <w:rPr>
                <w:rFonts w:ascii="Tondo" w:hAnsi="Tondo"/>
              </w:rPr>
              <w:t>46-47</w:t>
            </w:r>
          </w:p>
        </w:tc>
        <w:tc>
          <w:tcPr>
            <w:tcW w:w="5313" w:type="dxa"/>
            <w:shd w:val="clear" w:color="auto" w:fill="auto"/>
          </w:tcPr>
          <w:p w14:paraId="3067C900" w14:textId="7BD9DA8E" w:rsidR="007F2997" w:rsidRPr="00222D45" w:rsidRDefault="00204D9F" w:rsidP="00BA39D9">
            <w:pPr>
              <w:rPr>
                <w:rFonts w:ascii="Tondo" w:hAnsi="Tondo"/>
              </w:rPr>
            </w:pPr>
            <w:r>
              <w:rPr>
                <w:rFonts w:ascii="Tondo" w:hAnsi="Tondo"/>
              </w:rPr>
              <w:t>Two new paragraphs reinforcing what we have seen previously in the document about the need to have systems for reporting in place and the need to respond.</w:t>
            </w:r>
          </w:p>
        </w:tc>
        <w:tc>
          <w:tcPr>
            <w:tcW w:w="1622" w:type="dxa"/>
            <w:shd w:val="clear" w:color="auto" w:fill="auto"/>
          </w:tcPr>
          <w:p w14:paraId="1896D1BB" w14:textId="43A074BD" w:rsidR="00EB7BB4" w:rsidRPr="00222D45" w:rsidRDefault="00204D9F" w:rsidP="00BA39D9">
            <w:pPr>
              <w:rPr>
                <w:rFonts w:ascii="Tondo" w:hAnsi="Tondo"/>
              </w:rPr>
            </w:pPr>
            <w:r>
              <w:rPr>
                <w:rFonts w:ascii="Tondo" w:hAnsi="Tondo"/>
              </w:rPr>
              <w:t>Child centred approach</w:t>
            </w:r>
          </w:p>
        </w:tc>
        <w:tc>
          <w:tcPr>
            <w:tcW w:w="4970" w:type="dxa"/>
            <w:shd w:val="clear" w:color="auto" w:fill="auto"/>
          </w:tcPr>
          <w:p w14:paraId="6CF8A668" w14:textId="77777777" w:rsidR="00EB7BB4" w:rsidRPr="00222D45" w:rsidRDefault="00EB7BB4" w:rsidP="00BA39D9">
            <w:pPr>
              <w:rPr>
                <w:rFonts w:ascii="Tondo" w:hAnsi="Tondo"/>
              </w:rPr>
            </w:pPr>
          </w:p>
        </w:tc>
      </w:tr>
      <w:tr w:rsidR="00204D9F" w:rsidRPr="00222D45" w14:paraId="52569E0A" w14:textId="77777777" w:rsidTr="00D80987">
        <w:tc>
          <w:tcPr>
            <w:tcW w:w="747" w:type="dxa"/>
            <w:shd w:val="clear" w:color="auto" w:fill="auto"/>
          </w:tcPr>
          <w:p w14:paraId="2531214F" w14:textId="560223F6" w:rsidR="00204D9F" w:rsidRPr="00222D45" w:rsidRDefault="00204D9F" w:rsidP="00064A8C">
            <w:pPr>
              <w:jc w:val="center"/>
              <w:rPr>
                <w:rFonts w:ascii="Tondo" w:hAnsi="Tondo"/>
              </w:rPr>
            </w:pPr>
            <w:r>
              <w:rPr>
                <w:rFonts w:ascii="Tondo" w:hAnsi="Tondo"/>
              </w:rPr>
              <w:t>22</w:t>
            </w:r>
          </w:p>
        </w:tc>
        <w:tc>
          <w:tcPr>
            <w:tcW w:w="1944" w:type="dxa"/>
            <w:shd w:val="clear" w:color="auto" w:fill="auto"/>
          </w:tcPr>
          <w:p w14:paraId="68D79EDA" w14:textId="171A75A6" w:rsidR="00204D9F" w:rsidRPr="00222D45" w:rsidRDefault="00204D9F" w:rsidP="00064A8C">
            <w:pPr>
              <w:jc w:val="center"/>
              <w:rPr>
                <w:rFonts w:ascii="Tondo" w:hAnsi="Tondo"/>
              </w:rPr>
            </w:pPr>
            <w:r>
              <w:rPr>
                <w:rFonts w:ascii="Tondo" w:hAnsi="Tondo"/>
              </w:rPr>
              <w:t>48</w:t>
            </w:r>
          </w:p>
        </w:tc>
        <w:tc>
          <w:tcPr>
            <w:tcW w:w="5313" w:type="dxa"/>
            <w:shd w:val="clear" w:color="auto" w:fill="auto"/>
          </w:tcPr>
          <w:p w14:paraId="32F5F227" w14:textId="65364890" w:rsidR="00204D9F" w:rsidRPr="00222D45" w:rsidRDefault="00204D9F" w:rsidP="00BA39D9">
            <w:pPr>
              <w:rPr>
                <w:rFonts w:ascii="Tondo" w:hAnsi="Tondo"/>
              </w:rPr>
            </w:pPr>
            <w:r>
              <w:rPr>
                <w:rFonts w:ascii="Tondo" w:hAnsi="Tondo"/>
              </w:rPr>
              <w:t xml:space="preserve">Additional sentence setting out that governors and proprietors should ensure the setting is contributing to multi-agency working as per Working Together. </w:t>
            </w:r>
          </w:p>
        </w:tc>
        <w:tc>
          <w:tcPr>
            <w:tcW w:w="1622" w:type="dxa"/>
            <w:shd w:val="clear" w:color="auto" w:fill="auto"/>
          </w:tcPr>
          <w:p w14:paraId="20579DA8" w14:textId="49EEB7E7" w:rsidR="00204D9F" w:rsidRPr="00222D45" w:rsidRDefault="00204D9F" w:rsidP="00BA39D9">
            <w:pPr>
              <w:rPr>
                <w:rFonts w:ascii="Tondo" w:hAnsi="Tondo"/>
              </w:rPr>
            </w:pPr>
            <w:r>
              <w:rPr>
                <w:rFonts w:ascii="Tondo" w:hAnsi="Tondo"/>
              </w:rPr>
              <w:t>Governance</w:t>
            </w:r>
          </w:p>
        </w:tc>
        <w:tc>
          <w:tcPr>
            <w:tcW w:w="4970" w:type="dxa"/>
            <w:shd w:val="clear" w:color="auto" w:fill="auto"/>
          </w:tcPr>
          <w:p w14:paraId="5C48078D" w14:textId="77777777" w:rsidR="00204D9F" w:rsidRPr="00222D45" w:rsidRDefault="00204D9F" w:rsidP="00BA39D9">
            <w:pPr>
              <w:rPr>
                <w:rFonts w:ascii="Tondo" w:hAnsi="Tondo"/>
              </w:rPr>
            </w:pPr>
          </w:p>
        </w:tc>
      </w:tr>
      <w:tr w:rsidR="00204D9F" w:rsidRPr="00222D45" w14:paraId="15A40944" w14:textId="77777777" w:rsidTr="00D80987">
        <w:tc>
          <w:tcPr>
            <w:tcW w:w="747" w:type="dxa"/>
            <w:shd w:val="clear" w:color="auto" w:fill="auto"/>
          </w:tcPr>
          <w:p w14:paraId="4373513C" w14:textId="35A0B452" w:rsidR="00204D9F" w:rsidRPr="00222D45" w:rsidRDefault="00204D9F" w:rsidP="00064A8C">
            <w:pPr>
              <w:jc w:val="center"/>
              <w:rPr>
                <w:rFonts w:ascii="Tondo" w:hAnsi="Tondo"/>
              </w:rPr>
            </w:pPr>
            <w:r>
              <w:rPr>
                <w:rFonts w:ascii="Tondo" w:hAnsi="Tondo"/>
              </w:rPr>
              <w:t>22</w:t>
            </w:r>
          </w:p>
        </w:tc>
        <w:tc>
          <w:tcPr>
            <w:tcW w:w="1944" w:type="dxa"/>
            <w:shd w:val="clear" w:color="auto" w:fill="auto"/>
          </w:tcPr>
          <w:p w14:paraId="4A973D74" w14:textId="77777777" w:rsidR="00204D9F" w:rsidRDefault="00204D9F" w:rsidP="00064A8C">
            <w:pPr>
              <w:jc w:val="center"/>
              <w:rPr>
                <w:rFonts w:ascii="Tondo" w:hAnsi="Tondo"/>
              </w:rPr>
            </w:pPr>
            <w:r>
              <w:rPr>
                <w:rFonts w:ascii="Tondo" w:hAnsi="Tondo"/>
              </w:rPr>
              <w:t>51</w:t>
            </w:r>
          </w:p>
          <w:p w14:paraId="3A00441D" w14:textId="2E526677" w:rsidR="00204D9F" w:rsidRPr="00222D45" w:rsidRDefault="00204D9F" w:rsidP="00064A8C">
            <w:pPr>
              <w:jc w:val="center"/>
              <w:rPr>
                <w:rFonts w:ascii="Tondo" w:hAnsi="Tondo"/>
              </w:rPr>
            </w:pPr>
            <w:r>
              <w:rPr>
                <w:rFonts w:ascii="Tondo" w:hAnsi="Tondo"/>
              </w:rPr>
              <w:t>(</w:t>
            </w:r>
            <w:r w:rsidR="00162D13">
              <w:rPr>
                <w:rFonts w:ascii="Tondo" w:hAnsi="Tondo"/>
              </w:rPr>
              <w:t>Last</w:t>
            </w:r>
            <w:r>
              <w:rPr>
                <w:rFonts w:ascii="Tondo" w:hAnsi="Tondo"/>
              </w:rPr>
              <w:t xml:space="preserve"> bullet point on page 22)</w:t>
            </w:r>
          </w:p>
        </w:tc>
        <w:tc>
          <w:tcPr>
            <w:tcW w:w="5313" w:type="dxa"/>
            <w:shd w:val="clear" w:color="auto" w:fill="auto"/>
          </w:tcPr>
          <w:p w14:paraId="3741D3CB" w14:textId="782F9624" w:rsidR="00162D13" w:rsidRPr="00222D45" w:rsidRDefault="00204D9F" w:rsidP="00204D9F">
            <w:pPr>
              <w:rPr>
                <w:rFonts w:ascii="Tondo" w:hAnsi="Tondo"/>
              </w:rPr>
            </w:pPr>
            <w:r>
              <w:rPr>
                <w:rFonts w:ascii="Tondo" w:hAnsi="Tondo"/>
              </w:rPr>
              <w:t>Addition of paragraph setting out the responsibilities of multi-agency safeguarding partners and specifically local authority children’s services, stating these agencies should have: “</w:t>
            </w:r>
            <w:r w:rsidRPr="00204D9F">
              <w:rPr>
                <w:rFonts w:ascii="Tondo" w:hAnsi="Tondo"/>
              </w:rPr>
              <w:t>a comprehensive range of effective, evidence-based</w:t>
            </w:r>
            <w:r>
              <w:rPr>
                <w:rFonts w:ascii="Tondo" w:hAnsi="Tondo"/>
              </w:rPr>
              <w:t xml:space="preserve"> </w:t>
            </w:r>
            <w:r w:rsidRPr="00204D9F">
              <w:rPr>
                <w:rFonts w:ascii="Tondo" w:hAnsi="Tondo"/>
              </w:rPr>
              <w:t>services in place to address assessed needs early.</w:t>
            </w:r>
            <w:r>
              <w:rPr>
                <w:rFonts w:ascii="Tondo" w:hAnsi="Tondo"/>
              </w:rPr>
              <w:t>”</w:t>
            </w:r>
          </w:p>
        </w:tc>
        <w:tc>
          <w:tcPr>
            <w:tcW w:w="1622" w:type="dxa"/>
            <w:shd w:val="clear" w:color="auto" w:fill="auto"/>
          </w:tcPr>
          <w:p w14:paraId="7366E29E" w14:textId="2DE795F2" w:rsidR="00204D9F" w:rsidRPr="00222D45" w:rsidRDefault="00204D9F" w:rsidP="00BA39D9">
            <w:pPr>
              <w:rPr>
                <w:rFonts w:ascii="Tondo" w:hAnsi="Tondo"/>
              </w:rPr>
            </w:pPr>
            <w:r>
              <w:rPr>
                <w:rFonts w:ascii="Tondo" w:hAnsi="Tondo"/>
              </w:rPr>
              <w:t>Multi-agency working</w:t>
            </w:r>
          </w:p>
        </w:tc>
        <w:tc>
          <w:tcPr>
            <w:tcW w:w="4970" w:type="dxa"/>
            <w:shd w:val="clear" w:color="auto" w:fill="auto"/>
          </w:tcPr>
          <w:p w14:paraId="4D10B95D" w14:textId="5FC71B23" w:rsidR="00204D9F" w:rsidRPr="00222D45" w:rsidRDefault="00204D9F" w:rsidP="00BA39D9">
            <w:pPr>
              <w:rPr>
                <w:rFonts w:ascii="Tondo" w:hAnsi="Tondo"/>
              </w:rPr>
            </w:pPr>
            <w:r>
              <w:rPr>
                <w:rFonts w:ascii="Tondo" w:hAnsi="Tondo"/>
              </w:rPr>
              <w:t>This is an interesting addition as our initial take is that settings can now approach the local authority and challenge what they are doing to support victims, perpetrators, and the settings in responding to reports where the case does not necessarily warrant an immediate social care referral.</w:t>
            </w:r>
          </w:p>
        </w:tc>
      </w:tr>
      <w:tr w:rsidR="00204D9F" w:rsidRPr="00222D45" w14:paraId="5A511B87" w14:textId="77777777" w:rsidTr="00D80987">
        <w:tc>
          <w:tcPr>
            <w:tcW w:w="747" w:type="dxa"/>
            <w:shd w:val="clear" w:color="auto" w:fill="auto"/>
          </w:tcPr>
          <w:p w14:paraId="165B7BCE" w14:textId="14665856" w:rsidR="00204D9F" w:rsidRPr="00222D45" w:rsidRDefault="00162D13" w:rsidP="00064A8C">
            <w:pPr>
              <w:jc w:val="center"/>
              <w:rPr>
                <w:rFonts w:ascii="Tondo" w:hAnsi="Tondo"/>
              </w:rPr>
            </w:pPr>
            <w:r>
              <w:rPr>
                <w:rFonts w:ascii="Tondo" w:hAnsi="Tondo"/>
              </w:rPr>
              <w:t>22</w:t>
            </w:r>
          </w:p>
        </w:tc>
        <w:tc>
          <w:tcPr>
            <w:tcW w:w="1944" w:type="dxa"/>
            <w:shd w:val="clear" w:color="auto" w:fill="auto"/>
          </w:tcPr>
          <w:p w14:paraId="4EA95B9C" w14:textId="7EF62D61" w:rsidR="00204D9F" w:rsidRPr="00222D45" w:rsidRDefault="00162D13" w:rsidP="00064A8C">
            <w:pPr>
              <w:jc w:val="center"/>
              <w:rPr>
                <w:rFonts w:ascii="Tondo" w:hAnsi="Tondo"/>
              </w:rPr>
            </w:pPr>
            <w:r>
              <w:rPr>
                <w:rFonts w:ascii="Tondo" w:hAnsi="Tondo"/>
              </w:rPr>
              <w:t>51</w:t>
            </w:r>
          </w:p>
        </w:tc>
        <w:tc>
          <w:tcPr>
            <w:tcW w:w="5313" w:type="dxa"/>
            <w:shd w:val="clear" w:color="auto" w:fill="auto"/>
          </w:tcPr>
          <w:p w14:paraId="522C5E57" w14:textId="6A496BC1" w:rsidR="00204D9F" w:rsidRPr="00222D45" w:rsidRDefault="00162D13" w:rsidP="00BA39D9">
            <w:pPr>
              <w:rPr>
                <w:rFonts w:ascii="Tondo" w:hAnsi="Tondo"/>
              </w:rPr>
            </w:pPr>
            <w:r>
              <w:rPr>
                <w:rFonts w:ascii="Tondo" w:hAnsi="Tondo"/>
              </w:rPr>
              <w:t>Further down the list of where support can be found the Childline/IWF Report Remove tool has been added and the advice in relation to sexting has been updated to refer to the new terminology of “sharing of nudes and semi-nudes”.</w:t>
            </w:r>
          </w:p>
        </w:tc>
        <w:tc>
          <w:tcPr>
            <w:tcW w:w="1622" w:type="dxa"/>
            <w:shd w:val="clear" w:color="auto" w:fill="auto"/>
          </w:tcPr>
          <w:p w14:paraId="0B2C1450" w14:textId="662C2671" w:rsidR="00204D9F" w:rsidRPr="00222D45" w:rsidRDefault="00162D13" w:rsidP="00BA39D9">
            <w:pPr>
              <w:rPr>
                <w:rFonts w:ascii="Tondo" w:hAnsi="Tondo"/>
              </w:rPr>
            </w:pPr>
            <w:r>
              <w:rPr>
                <w:rFonts w:ascii="Tondo" w:hAnsi="Tondo"/>
              </w:rPr>
              <w:t>Resources</w:t>
            </w:r>
          </w:p>
        </w:tc>
        <w:tc>
          <w:tcPr>
            <w:tcW w:w="4970" w:type="dxa"/>
            <w:shd w:val="clear" w:color="auto" w:fill="auto"/>
          </w:tcPr>
          <w:p w14:paraId="3513F956" w14:textId="77777777" w:rsidR="00204D9F" w:rsidRPr="00222D45" w:rsidRDefault="00204D9F" w:rsidP="00BA39D9">
            <w:pPr>
              <w:rPr>
                <w:rFonts w:ascii="Tondo" w:hAnsi="Tondo"/>
              </w:rPr>
            </w:pPr>
          </w:p>
        </w:tc>
      </w:tr>
      <w:tr w:rsidR="00204D9F" w:rsidRPr="00222D45" w14:paraId="69EF397A" w14:textId="77777777" w:rsidTr="00D80987">
        <w:tc>
          <w:tcPr>
            <w:tcW w:w="747" w:type="dxa"/>
            <w:shd w:val="clear" w:color="auto" w:fill="auto"/>
          </w:tcPr>
          <w:p w14:paraId="7FFACD8B" w14:textId="0D0F077E" w:rsidR="00204D9F" w:rsidRPr="00222D45" w:rsidRDefault="00162D13" w:rsidP="00064A8C">
            <w:pPr>
              <w:jc w:val="center"/>
              <w:rPr>
                <w:rFonts w:ascii="Tondo" w:hAnsi="Tondo"/>
              </w:rPr>
            </w:pPr>
            <w:r>
              <w:rPr>
                <w:rFonts w:ascii="Tondo" w:hAnsi="Tondo"/>
              </w:rPr>
              <w:t>25</w:t>
            </w:r>
          </w:p>
        </w:tc>
        <w:tc>
          <w:tcPr>
            <w:tcW w:w="1944" w:type="dxa"/>
            <w:shd w:val="clear" w:color="auto" w:fill="auto"/>
          </w:tcPr>
          <w:p w14:paraId="53AC5D0F" w14:textId="41AC5B37" w:rsidR="00204D9F" w:rsidRPr="00222D45" w:rsidRDefault="00162D13" w:rsidP="00064A8C">
            <w:pPr>
              <w:jc w:val="center"/>
              <w:rPr>
                <w:rFonts w:ascii="Tondo" w:hAnsi="Tondo"/>
              </w:rPr>
            </w:pPr>
            <w:r>
              <w:rPr>
                <w:rFonts w:ascii="Tondo" w:hAnsi="Tondo"/>
              </w:rPr>
              <w:t>53-55</w:t>
            </w:r>
          </w:p>
        </w:tc>
        <w:tc>
          <w:tcPr>
            <w:tcW w:w="5313" w:type="dxa"/>
            <w:shd w:val="clear" w:color="auto" w:fill="auto"/>
          </w:tcPr>
          <w:p w14:paraId="167AE331" w14:textId="3ACBD62B" w:rsidR="00204D9F" w:rsidRPr="00222D45" w:rsidRDefault="00162D13" w:rsidP="00BA39D9">
            <w:pPr>
              <w:rPr>
                <w:rFonts w:ascii="Tondo" w:hAnsi="Tondo"/>
              </w:rPr>
            </w:pPr>
            <w:r>
              <w:rPr>
                <w:rFonts w:ascii="Tondo" w:hAnsi="Tondo"/>
              </w:rPr>
              <w:t>Addition of text to reinforce the position seen in KCSiE 2021 about how reports may not just be a verbal disclosure direct to a member of staff but indirect hearing of conversations or changes in behaviour.  The text also reinforces that the initial response will determine the confidence of future victims.  This section and para 58 reinforce that staff should act immediately and not wait to be told if they have concerns about a child’s welfare.</w:t>
            </w:r>
          </w:p>
        </w:tc>
        <w:tc>
          <w:tcPr>
            <w:tcW w:w="1622" w:type="dxa"/>
            <w:shd w:val="clear" w:color="auto" w:fill="auto"/>
          </w:tcPr>
          <w:p w14:paraId="036A8102" w14:textId="1F5F456E" w:rsidR="00204D9F" w:rsidRPr="00222D45" w:rsidRDefault="004570AB" w:rsidP="00BA39D9">
            <w:pPr>
              <w:rPr>
                <w:rFonts w:ascii="Tondo" w:hAnsi="Tondo"/>
              </w:rPr>
            </w:pPr>
            <w:r>
              <w:rPr>
                <w:rFonts w:ascii="Tondo" w:hAnsi="Tondo"/>
              </w:rPr>
              <w:t>Managing a report</w:t>
            </w:r>
          </w:p>
        </w:tc>
        <w:tc>
          <w:tcPr>
            <w:tcW w:w="4970" w:type="dxa"/>
            <w:shd w:val="clear" w:color="auto" w:fill="auto"/>
          </w:tcPr>
          <w:p w14:paraId="27E3D1AA" w14:textId="77777777" w:rsidR="00204D9F" w:rsidRPr="00222D45" w:rsidRDefault="00204D9F" w:rsidP="00BA39D9">
            <w:pPr>
              <w:rPr>
                <w:rFonts w:ascii="Tondo" w:hAnsi="Tondo"/>
              </w:rPr>
            </w:pPr>
          </w:p>
        </w:tc>
      </w:tr>
      <w:tr w:rsidR="00204D9F" w:rsidRPr="00222D45" w14:paraId="599C4399" w14:textId="77777777" w:rsidTr="00D80987">
        <w:tc>
          <w:tcPr>
            <w:tcW w:w="747" w:type="dxa"/>
            <w:shd w:val="clear" w:color="auto" w:fill="auto"/>
          </w:tcPr>
          <w:p w14:paraId="37766F84" w14:textId="79A010B6" w:rsidR="00204D9F" w:rsidRPr="00222D45" w:rsidRDefault="00162D13" w:rsidP="00064A8C">
            <w:pPr>
              <w:jc w:val="center"/>
              <w:rPr>
                <w:rFonts w:ascii="Tondo" w:hAnsi="Tondo"/>
              </w:rPr>
            </w:pPr>
            <w:r>
              <w:rPr>
                <w:rFonts w:ascii="Tondo" w:hAnsi="Tondo"/>
              </w:rPr>
              <w:t>26</w:t>
            </w:r>
          </w:p>
        </w:tc>
        <w:tc>
          <w:tcPr>
            <w:tcW w:w="1944" w:type="dxa"/>
            <w:shd w:val="clear" w:color="auto" w:fill="auto"/>
          </w:tcPr>
          <w:p w14:paraId="55A0FD8F" w14:textId="0D41FD79" w:rsidR="00204D9F" w:rsidRPr="00222D45" w:rsidRDefault="00162D13" w:rsidP="00064A8C">
            <w:pPr>
              <w:jc w:val="center"/>
              <w:rPr>
                <w:rFonts w:ascii="Tondo" w:hAnsi="Tondo"/>
              </w:rPr>
            </w:pPr>
            <w:r>
              <w:rPr>
                <w:rFonts w:ascii="Tondo" w:hAnsi="Tondo"/>
              </w:rPr>
              <w:t>59</w:t>
            </w:r>
          </w:p>
        </w:tc>
        <w:tc>
          <w:tcPr>
            <w:tcW w:w="5313" w:type="dxa"/>
            <w:shd w:val="clear" w:color="auto" w:fill="auto"/>
          </w:tcPr>
          <w:p w14:paraId="62267F7F" w14:textId="0BAAF286" w:rsidR="00204D9F" w:rsidRDefault="00162D13" w:rsidP="00BA39D9">
            <w:pPr>
              <w:rPr>
                <w:rFonts w:ascii="Tondo" w:hAnsi="Tondo"/>
              </w:rPr>
            </w:pPr>
            <w:r>
              <w:rPr>
                <w:rFonts w:ascii="Tondo" w:hAnsi="Tondo"/>
              </w:rPr>
              <w:t xml:space="preserve">New bullet points added to identify that if possible two staff members should be present to manage </w:t>
            </w:r>
            <w:r w:rsidR="004570AB">
              <w:rPr>
                <w:rFonts w:ascii="Tondo" w:hAnsi="Tondo"/>
              </w:rPr>
              <w:t>reports and</w:t>
            </w:r>
            <w:r>
              <w:rPr>
                <w:rFonts w:ascii="Tondo" w:hAnsi="Tondo"/>
              </w:rPr>
              <w:t xml:space="preserve"> reinforcing the need for awareness of guidance in relation to viewing of images if there are online elements to the report.</w:t>
            </w:r>
          </w:p>
          <w:p w14:paraId="04DF7777" w14:textId="77777777" w:rsidR="00162D13" w:rsidRDefault="00162D13" w:rsidP="00BA39D9">
            <w:pPr>
              <w:rPr>
                <w:rFonts w:ascii="Tondo" w:hAnsi="Tondo"/>
              </w:rPr>
            </w:pPr>
            <w:r>
              <w:rPr>
                <w:rFonts w:ascii="Tondo" w:hAnsi="Tondo"/>
              </w:rPr>
              <w:t>Further bullet point to reinforce that when something is reported, it should be considered that this may not be a singular incident, just the first report of an ongoing incident.</w:t>
            </w:r>
          </w:p>
          <w:p w14:paraId="1C2C324A" w14:textId="19D281D7" w:rsidR="00162D13" w:rsidRPr="00222D45" w:rsidRDefault="00162D13" w:rsidP="00BA39D9">
            <w:pPr>
              <w:rPr>
                <w:rFonts w:ascii="Tondo" w:hAnsi="Tondo"/>
              </w:rPr>
            </w:pPr>
            <w:r>
              <w:rPr>
                <w:rFonts w:ascii="Tondo" w:hAnsi="Tondo"/>
              </w:rPr>
              <w:t>Bullet point also added to reinforce that some cohorts of children may face additional barriers in telling what is happening to them.</w:t>
            </w:r>
          </w:p>
        </w:tc>
        <w:tc>
          <w:tcPr>
            <w:tcW w:w="1622" w:type="dxa"/>
            <w:shd w:val="clear" w:color="auto" w:fill="auto"/>
          </w:tcPr>
          <w:p w14:paraId="66920477" w14:textId="4B03C51C" w:rsidR="00204D9F" w:rsidRPr="00222D45" w:rsidRDefault="004570AB" w:rsidP="00BA39D9">
            <w:pPr>
              <w:rPr>
                <w:rFonts w:ascii="Tondo" w:hAnsi="Tondo"/>
              </w:rPr>
            </w:pPr>
            <w:r>
              <w:rPr>
                <w:rFonts w:ascii="Tondo" w:hAnsi="Tondo"/>
              </w:rPr>
              <w:t>Managing a report</w:t>
            </w:r>
          </w:p>
        </w:tc>
        <w:tc>
          <w:tcPr>
            <w:tcW w:w="4970" w:type="dxa"/>
            <w:shd w:val="clear" w:color="auto" w:fill="auto"/>
          </w:tcPr>
          <w:p w14:paraId="0AC2434B" w14:textId="77777777" w:rsidR="00204D9F" w:rsidRPr="00222D45" w:rsidRDefault="00204D9F" w:rsidP="00BA39D9">
            <w:pPr>
              <w:rPr>
                <w:rFonts w:ascii="Tondo" w:hAnsi="Tondo"/>
              </w:rPr>
            </w:pPr>
          </w:p>
        </w:tc>
      </w:tr>
      <w:tr w:rsidR="00204D9F" w:rsidRPr="00222D45" w14:paraId="7856FB45" w14:textId="77777777" w:rsidTr="00D80987">
        <w:tc>
          <w:tcPr>
            <w:tcW w:w="747" w:type="dxa"/>
            <w:shd w:val="clear" w:color="auto" w:fill="auto"/>
          </w:tcPr>
          <w:p w14:paraId="25BBDD08" w14:textId="66BFECA3" w:rsidR="00204D9F" w:rsidRPr="00222D45" w:rsidRDefault="00E3219C" w:rsidP="00064A8C">
            <w:pPr>
              <w:jc w:val="center"/>
              <w:rPr>
                <w:rFonts w:ascii="Tondo" w:hAnsi="Tondo"/>
              </w:rPr>
            </w:pPr>
            <w:r>
              <w:rPr>
                <w:rFonts w:ascii="Tondo" w:hAnsi="Tondo"/>
              </w:rPr>
              <w:t>29</w:t>
            </w:r>
          </w:p>
        </w:tc>
        <w:tc>
          <w:tcPr>
            <w:tcW w:w="1944" w:type="dxa"/>
            <w:shd w:val="clear" w:color="auto" w:fill="auto"/>
          </w:tcPr>
          <w:p w14:paraId="331B4915" w14:textId="7312B61E" w:rsidR="00204D9F" w:rsidRPr="00222D45" w:rsidRDefault="00E3219C" w:rsidP="00064A8C">
            <w:pPr>
              <w:jc w:val="center"/>
              <w:rPr>
                <w:rFonts w:ascii="Tondo" w:hAnsi="Tondo"/>
              </w:rPr>
            </w:pPr>
            <w:r>
              <w:rPr>
                <w:rFonts w:ascii="Tondo" w:hAnsi="Tondo"/>
              </w:rPr>
              <w:t>69</w:t>
            </w:r>
          </w:p>
        </w:tc>
        <w:tc>
          <w:tcPr>
            <w:tcW w:w="5313" w:type="dxa"/>
            <w:shd w:val="clear" w:color="auto" w:fill="auto"/>
          </w:tcPr>
          <w:p w14:paraId="38CF87EA" w14:textId="2D74FCF0" w:rsidR="00204D9F" w:rsidRPr="00222D45" w:rsidRDefault="00E3219C" w:rsidP="00BA39D9">
            <w:pPr>
              <w:rPr>
                <w:rFonts w:ascii="Tondo" w:hAnsi="Tondo"/>
              </w:rPr>
            </w:pPr>
            <w:r>
              <w:rPr>
                <w:rFonts w:ascii="Tondo" w:hAnsi="Tondo"/>
              </w:rPr>
              <w:t>Addition of bullet point to identify that the initial risk and needs assessment should also consider whether there may have been other victims and expansion of final bullet point to reinforce actions off the back of the initial assessment should also be appropriate to protect the victim “from the alleged perpetrator(s), or from future harms.”</w:t>
            </w:r>
          </w:p>
        </w:tc>
        <w:tc>
          <w:tcPr>
            <w:tcW w:w="1622" w:type="dxa"/>
            <w:shd w:val="clear" w:color="auto" w:fill="auto"/>
          </w:tcPr>
          <w:p w14:paraId="0C9DFB52" w14:textId="1A5D6B6E" w:rsidR="00204D9F" w:rsidRPr="00222D45" w:rsidRDefault="004570AB" w:rsidP="00BA39D9">
            <w:pPr>
              <w:rPr>
                <w:rFonts w:ascii="Tondo" w:hAnsi="Tondo"/>
              </w:rPr>
            </w:pPr>
            <w:r>
              <w:rPr>
                <w:rFonts w:ascii="Tondo" w:hAnsi="Tondo"/>
              </w:rPr>
              <w:t>Managing a report</w:t>
            </w:r>
          </w:p>
        </w:tc>
        <w:tc>
          <w:tcPr>
            <w:tcW w:w="4970" w:type="dxa"/>
            <w:shd w:val="clear" w:color="auto" w:fill="auto"/>
          </w:tcPr>
          <w:p w14:paraId="23BF2E11" w14:textId="77777777" w:rsidR="00204D9F" w:rsidRPr="00222D45" w:rsidRDefault="00204D9F" w:rsidP="00BA39D9">
            <w:pPr>
              <w:rPr>
                <w:rFonts w:ascii="Tondo" w:hAnsi="Tondo"/>
              </w:rPr>
            </w:pPr>
          </w:p>
        </w:tc>
      </w:tr>
      <w:tr w:rsidR="00204D9F" w:rsidRPr="00222D45" w14:paraId="2A9D2E93" w14:textId="77777777" w:rsidTr="00D80987">
        <w:tc>
          <w:tcPr>
            <w:tcW w:w="747" w:type="dxa"/>
            <w:shd w:val="clear" w:color="auto" w:fill="auto"/>
          </w:tcPr>
          <w:p w14:paraId="5D60D8A8" w14:textId="7AB7D24E" w:rsidR="00204D9F" w:rsidRPr="00222D45" w:rsidRDefault="004570AB" w:rsidP="004570AB">
            <w:pPr>
              <w:jc w:val="center"/>
              <w:rPr>
                <w:rFonts w:ascii="Tondo" w:hAnsi="Tondo"/>
              </w:rPr>
            </w:pPr>
            <w:r>
              <w:rPr>
                <w:rFonts w:ascii="Tondo" w:hAnsi="Tondo"/>
              </w:rPr>
              <w:t>30</w:t>
            </w:r>
          </w:p>
        </w:tc>
        <w:tc>
          <w:tcPr>
            <w:tcW w:w="1944" w:type="dxa"/>
            <w:shd w:val="clear" w:color="auto" w:fill="auto"/>
          </w:tcPr>
          <w:p w14:paraId="676488FC" w14:textId="5D605D64" w:rsidR="00204D9F" w:rsidRPr="00222D45" w:rsidRDefault="004570AB" w:rsidP="00064A8C">
            <w:pPr>
              <w:jc w:val="center"/>
              <w:rPr>
                <w:rFonts w:ascii="Tondo" w:hAnsi="Tondo"/>
              </w:rPr>
            </w:pPr>
            <w:r>
              <w:rPr>
                <w:rFonts w:ascii="Tondo" w:hAnsi="Tondo"/>
              </w:rPr>
              <w:t>72</w:t>
            </w:r>
          </w:p>
        </w:tc>
        <w:tc>
          <w:tcPr>
            <w:tcW w:w="5313" w:type="dxa"/>
            <w:shd w:val="clear" w:color="auto" w:fill="auto"/>
          </w:tcPr>
          <w:p w14:paraId="78F45C8D" w14:textId="77777777" w:rsidR="00204D9F" w:rsidRDefault="004570AB" w:rsidP="00BA39D9">
            <w:pPr>
              <w:rPr>
                <w:rFonts w:ascii="Tondo" w:hAnsi="Tondo"/>
              </w:rPr>
            </w:pPr>
            <w:r>
              <w:rPr>
                <w:rFonts w:ascii="Tondo" w:hAnsi="Tondo"/>
              </w:rPr>
              <w:t>Addition to first bullet point to clarify that any whilst the victim should be given as much control as possible in the support offered, this needs to be balanced with wider safeguarding responsibilities towards the whole setting.</w:t>
            </w:r>
          </w:p>
          <w:p w14:paraId="16E8113A" w14:textId="33659654" w:rsidR="004570AB" w:rsidRPr="00222D45" w:rsidRDefault="004570AB" w:rsidP="00BA39D9">
            <w:pPr>
              <w:rPr>
                <w:rFonts w:ascii="Tondo" w:hAnsi="Tondo"/>
              </w:rPr>
            </w:pPr>
            <w:r>
              <w:rPr>
                <w:rFonts w:ascii="Tondo" w:hAnsi="Tondo"/>
              </w:rPr>
              <w:t>Further amendments to other bullet points to reflect that peer-on-peer abuse can happen in intimate relationships between peers, and the need to consider whether other forms of abuse are also happening as sexual harassment / violence may not happen in isolation.</w:t>
            </w:r>
          </w:p>
        </w:tc>
        <w:tc>
          <w:tcPr>
            <w:tcW w:w="1622" w:type="dxa"/>
            <w:shd w:val="clear" w:color="auto" w:fill="auto"/>
          </w:tcPr>
          <w:p w14:paraId="5FE9A434" w14:textId="5548E66A" w:rsidR="00204D9F" w:rsidRPr="00222D45" w:rsidRDefault="004570AB" w:rsidP="00BA39D9">
            <w:pPr>
              <w:rPr>
                <w:rFonts w:ascii="Tondo" w:hAnsi="Tondo"/>
              </w:rPr>
            </w:pPr>
            <w:r>
              <w:rPr>
                <w:rFonts w:ascii="Tondo" w:hAnsi="Tondo"/>
              </w:rPr>
              <w:t>Managing a report</w:t>
            </w:r>
          </w:p>
        </w:tc>
        <w:tc>
          <w:tcPr>
            <w:tcW w:w="4970" w:type="dxa"/>
            <w:shd w:val="clear" w:color="auto" w:fill="auto"/>
          </w:tcPr>
          <w:p w14:paraId="214D3955" w14:textId="77777777" w:rsidR="00204D9F" w:rsidRPr="00222D45" w:rsidRDefault="00204D9F" w:rsidP="00BA39D9">
            <w:pPr>
              <w:rPr>
                <w:rFonts w:ascii="Tondo" w:hAnsi="Tondo"/>
              </w:rPr>
            </w:pPr>
          </w:p>
        </w:tc>
      </w:tr>
      <w:tr w:rsidR="00204D9F" w:rsidRPr="00222D45" w14:paraId="7D5DB8F0" w14:textId="77777777" w:rsidTr="00D80987">
        <w:tc>
          <w:tcPr>
            <w:tcW w:w="747" w:type="dxa"/>
            <w:shd w:val="clear" w:color="auto" w:fill="auto"/>
          </w:tcPr>
          <w:p w14:paraId="010B5B06" w14:textId="7CEC3C93" w:rsidR="00204D9F" w:rsidRPr="00222D45" w:rsidRDefault="004570AB" w:rsidP="00064A8C">
            <w:pPr>
              <w:jc w:val="center"/>
              <w:rPr>
                <w:rFonts w:ascii="Tondo" w:hAnsi="Tondo"/>
              </w:rPr>
            </w:pPr>
            <w:r>
              <w:rPr>
                <w:rFonts w:ascii="Tondo" w:hAnsi="Tondo"/>
              </w:rPr>
              <w:t>30</w:t>
            </w:r>
          </w:p>
        </w:tc>
        <w:tc>
          <w:tcPr>
            <w:tcW w:w="1944" w:type="dxa"/>
            <w:shd w:val="clear" w:color="auto" w:fill="auto"/>
          </w:tcPr>
          <w:p w14:paraId="2BAFB89E" w14:textId="6A9ABF78" w:rsidR="00204D9F" w:rsidRPr="00222D45" w:rsidRDefault="004570AB" w:rsidP="00064A8C">
            <w:pPr>
              <w:jc w:val="center"/>
              <w:rPr>
                <w:rFonts w:ascii="Tondo" w:hAnsi="Tondo"/>
              </w:rPr>
            </w:pPr>
            <w:r>
              <w:rPr>
                <w:rFonts w:ascii="Tondo" w:hAnsi="Tondo"/>
              </w:rPr>
              <w:t>74</w:t>
            </w:r>
          </w:p>
        </w:tc>
        <w:tc>
          <w:tcPr>
            <w:tcW w:w="5313" w:type="dxa"/>
            <w:shd w:val="clear" w:color="auto" w:fill="auto"/>
          </w:tcPr>
          <w:p w14:paraId="0F4A5989" w14:textId="6627B23C" w:rsidR="00204D9F" w:rsidRPr="00222D45" w:rsidRDefault="004570AB" w:rsidP="00BA39D9">
            <w:pPr>
              <w:rPr>
                <w:rFonts w:ascii="Tondo" w:hAnsi="Tondo"/>
              </w:rPr>
            </w:pPr>
            <w:r>
              <w:rPr>
                <w:rFonts w:ascii="Tondo" w:hAnsi="Tondo"/>
              </w:rPr>
              <w:t xml:space="preserve">Addition to paragraph to reflect the emphasis in this document and </w:t>
            </w:r>
            <w:proofErr w:type="spellStart"/>
            <w:r>
              <w:rPr>
                <w:rFonts w:ascii="Tondo" w:hAnsi="Tondo"/>
              </w:rPr>
              <w:t>KCSiE</w:t>
            </w:r>
            <w:proofErr w:type="spellEnd"/>
            <w:r>
              <w:rPr>
                <w:rFonts w:ascii="Tondo" w:hAnsi="Tondo"/>
              </w:rPr>
              <w:t xml:space="preserve"> 2021 around a zero-tolerance approach.</w:t>
            </w:r>
          </w:p>
        </w:tc>
        <w:tc>
          <w:tcPr>
            <w:tcW w:w="1622" w:type="dxa"/>
            <w:shd w:val="clear" w:color="auto" w:fill="auto"/>
          </w:tcPr>
          <w:p w14:paraId="3259842F" w14:textId="718B3E4C" w:rsidR="00204D9F" w:rsidRPr="00222D45" w:rsidRDefault="004570AB" w:rsidP="00BA39D9">
            <w:pPr>
              <w:rPr>
                <w:rFonts w:ascii="Tondo" w:hAnsi="Tondo"/>
              </w:rPr>
            </w:pPr>
            <w:r>
              <w:rPr>
                <w:rFonts w:ascii="Tondo" w:hAnsi="Tondo"/>
              </w:rPr>
              <w:t>Child centred</w:t>
            </w:r>
          </w:p>
        </w:tc>
        <w:tc>
          <w:tcPr>
            <w:tcW w:w="4970" w:type="dxa"/>
            <w:shd w:val="clear" w:color="auto" w:fill="auto"/>
          </w:tcPr>
          <w:p w14:paraId="2F30C762" w14:textId="77777777" w:rsidR="00204D9F" w:rsidRPr="00222D45" w:rsidRDefault="00204D9F" w:rsidP="00BA39D9">
            <w:pPr>
              <w:rPr>
                <w:rFonts w:ascii="Tondo" w:hAnsi="Tondo"/>
              </w:rPr>
            </w:pPr>
          </w:p>
        </w:tc>
      </w:tr>
      <w:tr w:rsidR="004570AB" w:rsidRPr="00222D45" w14:paraId="765253B8" w14:textId="77777777" w:rsidTr="00D80987">
        <w:tc>
          <w:tcPr>
            <w:tcW w:w="747" w:type="dxa"/>
            <w:shd w:val="clear" w:color="auto" w:fill="auto"/>
          </w:tcPr>
          <w:p w14:paraId="252EF5F7" w14:textId="430DCDC3" w:rsidR="004570AB" w:rsidRPr="00222D45" w:rsidRDefault="004570AB" w:rsidP="004570AB">
            <w:pPr>
              <w:jc w:val="center"/>
              <w:rPr>
                <w:rFonts w:ascii="Tondo" w:hAnsi="Tondo"/>
              </w:rPr>
            </w:pPr>
            <w:r>
              <w:rPr>
                <w:rFonts w:ascii="Tondo" w:hAnsi="Tondo"/>
              </w:rPr>
              <w:t>32</w:t>
            </w:r>
          </w:p>
        </w:tc>
        <w:tc>
          <w:tcPr>
            <w:tcW w:w="1944" w:type="dxa"/>
            <w:shd w:val="clear" w:color="auto" w:fill="auto"/>
          </w:tcPr>
          <w:p w14:paraId="159ED5CE" w14:textId="02CE726E" w:rsidR="004570AB" w:rsidRPr="00222D45" w:rsidRDefault="004570AB" w:rsidP="004570AB">
            <w:pPr>
              <w:jc w:val="center"/>
              <w:rPr>
                <w:rFonts w:ascii="Tondo" w:hAnsi="Tondo"/>
              </w:rPr>
            </w:pPr>
            <w:r>
              <w:rPr>
                <w:rFonts w:ascii="Tondo" w:hAnsi="Tondo"/>
              </w:rPr>
              <w:t>76</w:t>
            </w:r>
          </w:p>
        </w:tc>
        <w:tc>
          <w:tcPr>
            <w:tcW w:w="5313" w:type="dxa"/>
            <w:shd w:val="clear" w:color="auto" w:fill="auto"/>
          </w:tcPr>
          <w:p w14:paraId="65532213" w14:textId="77777777" w:rsidR="004570AB" w:rsidRDefault="004570AB" w:rsidP="004570AB">
            <w:pPr>
              <w:rPr>
                <w:rFonts w:ascii="Tondo" w:hAnsi="Tondo"/>
              </w:rPr>
            </w:pPr>
            <w:r>
              <w:rPr>
                <w:rFonts w:ascii="Tondo" w:hAnsi="Tondo"/>
              </w:rPr>
              <w:t xml:space="preserve">Text added in relation to the four likely scenarios that settings should consider </w:t>
            </w:r>
            <w:proofErr w:type="gramStart"/>
            <w:r>
              <w:rPr>
                <w:rFonts w:ascii="Tondo" w:hAnsi="Tondo"/>
              </w:rPr>
              <w:t>to reflect</w:t>
            </w:r>
            <w:proofErr w:type="gramEnd"/>
            <w:r>
              <w:rPr>
                <w:rFonts w:ascii="Tondo" w:hAnsi="Tondo"/>
              </w:rPr>
              <w:t xml:space="preserve"> the need to review regularly and that any review reflects lessons learnt.  Also stresses need to look at whether wider cultural factors were an issue in the setting at the time of the incident.</w:t>
            </w:r>
          </w:p>
          <w:p w14:paraId="097D07D8" w14:textId="385BF2BE" w:rsidR="004570AB" w:rsidRPr="00222D45" w:rsidRDefault="004570AB" w:rsidP="004570AB">
            <w:pPr>
              <w:rPr>
                <w:rFonts w:ascii="Tondo" w:hAnsi="Tondo"/>
              </w:rPr>
            </w:pPr>
            <w:r>
              <w:rPr>
                <w:rFonts w:ascii="Tondo" w:hAnsi="Tondo"/>
              </w:rPr>
              <w:t>Of note is that through the following four scenarios (manage internally, early help, referral to children’s social care and reporting to the police) there is further emphasis put on a zero-tolerance approach.</w:t>
            </w:r>
          </w:p>
        </w:tc>
        <w:tc>
          <w:tcPr>
            <w:tcW w:w="1622" w:type="dxa"/>
            <w:shd w:val="clear" w:color="auto" w:fill="auto"/>
          </w:tcPr>
          <w:p w14:paraId="1CA2B24D" w14:textId="0E061D15" w:rsidR="004570AB" w:rsidRPr="00222D45" w:rsidRDefault="004570AB" w:rsidP="004570AB">
            <w:pPr>
              <w:rPr>
                <w:rFonts w:ascii="Tondo" w:hAnsi="Tondo"/>
              </w:rPr>
            </w:pPr>
            <w:r>
              <w:rPr>
                <w:rFonts w:ascii="Tondo" w:hAnsi="Tondo"/>
              </w:rPr>
              <w:t>Managing a report</w:t>
            </w:r>
          </w:p>
        </w:tc>
        <w:tc>
          <w:tcPr>
            <w:tcW w:w="4970" w:type="dxa"/>
            <w:shd w:val="clear" w:color="auto" w:fill="auto"/>
          </w:tcPr>
          <w:p w14:paraId="289EFCBB" w14:textId="77777777" w:rsidR="004570AB" w:rsidRPr="00222D45" w:rsidRDefault="004570AB" w:rsidP="004570AB">
            <w:pPr>
              <w:rPr>
                <w:rFonts w:ascii="Tondo" w:hAnsi="Tondo"/>
              </w:rPr>
            </w:pPr>
          </w:p>
        </w:tc>
      </w:tr>
      <w:tr w:rsidR="004570AB" w:rsidRPr="00222D45" w14:paraId="2728D46A" w14:textId="77777777" w:rsidTr="00D80987">
        <w:tc>
          <w:tcPr>
            <w:tcW w:w="747" w:type="dxa"/>
            <w:shd w:val="clear" w:color="auto" w:fill="auto"/>
          </w:tcPr>
          <w:p w14:paraId="28EA5485" w14:textId="40274F8E" w:rsidR="004570AB" w:rsidRPr="00222D45" w:rsidRDefault="004570AB" w:rsidP="004570AB">
            <w:pPr>
              <w:jc w:val="center"/>
              <w:rPr>
                <w:rFonts w:ascii="Tondo" w:hAnsi="Tondo"/>
              </w:rPr>
            </w:pPr>
            <w:r>
              <w:rPr>
                <w:rFonts w:ascii="Tondo" w:hAnsi="Tondo"/>
              </w:rPr>
              <w:t>33</w:t>
            </w:r>
          </w:p>
        </w:tc>
        <w:tc>
          <w:tcPr>
            <w:tcW w:w="1944" w:type="dxa"/>
            <w:shd w:val="clear" w:color="auto" w:fill="auto"/>
          </w:tcPr>
          <w:p w14:paraId="40B94CFB" w14:textId="38139425" w:rsidR="004570AB" w:rsidRPr="00222D45" w:rsidRDefault="004570AB" w:rsidP="004570AB">
            <w:pPr>
              <w:jc w:val="center"/>
              <w:rPr>
                <w:rFonts w:ascii="Tondo" w:hAnsi="Tondo"/>
              </w:rPr>
            </w:pPr>
            <w:r>
              <w:rPr>
                <w:rFonts w:ascii="Tondo" w:hAnsi="Tondo"/>
              </w:rPr>
              <w:t>Early help</w:t>
            </w:r>
          </w:p>
        </w:tc>
        <w:tc>
          <w:tcPr>
            <w:tcW w:w="5313" w:type="dxa"/>
            <w:shd w:val="clear" w:color="auto" w:fill="auto"/>
          </w:tcPr>
          <w:p w14:paraId="6A8575BD" w14:textId="77777777" w:rsidR="004570AB" w:rsidRDefault="004570AB" w:rsidP="004570AB">
            <w:pPr>
              <w:rPr>
                <w:rFonts w:ascii="Tondo" w:hAnsi="Tondo"/>
              </w:rPr>
            </w:pPr>
            <w:r>
              <w:rPr>
                <w:rFonts w:ascii="Tondo" w:hAnsi="Tondo"/>
              </w:rPr>
              <w:t>Bullet point added as follows:</w:t>
            </w:r>
          </w:p>
          <w:p w14:paraId="1FCB0AC8" w14:textId="49F2FBE5" w:rsidR="004570AB" w:rsidRPr="00222D45" w:rsidRDefault="004570AB" w:rsidP="004570AB">
            <w:pPr>
              <w:rPr>
                <w:rFonts w:ascii="Tondo" w:hAnsi="Tondo"/>
              </w:rPr>
            </w:pPr>
            <w:r>
              <w:rPr>
                <w:rFonts w:ascii="Tondo" w:hAnsi="Tondo"/>
              </w:rPr>
              <w:t>“</w:t>
            </w:r>
            <w:r w:rsidRPr="004570AB">
              <w:rPr>
                <w:rFonts w:ascii="Tondo" w:hAnsi="Tondo"/>
              </w:rPr>
              <w:t>Early help and the option to manage a report internally do not need to be mutually</w:t>
            </w:r>
            <w:r>
              <w:rPr>
                <w:rFonts w:ascii="Tondo" w:hAnsi="Tondo"/>
              </w:rPr>
              <w:t xml:space="preserve"> </w:t>
            </w:r>
            <w:r w:rsidRPr="004570AB">
              <w:rPr>
                <w:rFonts w:ascii="Tondo" w:hAnsi="Tondo"/>
              </w:rPr>
              <w:t>exclusive: a school could manage internally and seek early help for both the victim</w:t>
            </w:r>
            <w:r>
              <w:rPr>
                <w:rFonts w:ascii="Tondo" w:hAnsi="Tondo"/>
              </w:rPr>
              <w:t xml:space="preserve"> </w:t>
            </w:r>
            <w:r w:rsidRPr="004570AB">
              <w:rPr>
                <w:rFonts w:ascii="Tondo" w:hAnsi="Tondo"/>
              </w:rPr>
              <w:t>and perpetrator(s).</w:t>
            </w:r>
            <w:r>
              <w:rPr>
                <w:rFonts w:ascii="Tondo" w:hAnsi="Tondo"/>
              </w:rPr>
              <w:t>”</w:t>
            </w:r>
          </w:p>
        </w:tc>
        <w:tc>
          <w:tcPr>
            <w:tcW w:w="1622" w:type="dxa"/>
            <w:shd w:val="clear" w:color="auto" w:fill="auto"/>
          </w:tcPr>
          <w:p w14:paraId="4B696D14" w14:textId="61D2BE28" w:rsidR="004570AB" w:rsidRPr="00222D45" w:rsidRDefault="004570AB" w:rsidP="004570AB">
            <w:pPr>
              <w:rPr>
                <w:rFonts w:ascii="Tondo" w:hAnsi="Tondo"/>
              </w:rPr>
            </w:pPr>
            <w:r>
              <w:rPr>
                <w:rFonts w:ascii="Tondo" w:hAnsi="Tondo"/>
              </w:rPr>
              <w:t>Managing a report</w:t>
            </w:r>
          </w:p>
        </w:tc>
        <w:tc>
          <w:tcPr>
            <w:tcW w:w="4970" w:type="dxa"/>
            <w:shd w:val="clear" w:color="auto" w:fill="auto"/>
          </w:tcPr>
          <w:p w14:paraId="268A6A9D" w14:textId="77777777" w:rsidR="004570AB" w:rsidRPr="00222D45" w:rsidRDefault="004570AB" w:rsidP="004570AB">
            <w:pPr>
              <w:rPr>
                <w:rFonts w:ascii="Tondo" w:hAnsi="Tondo"/>
              </w:rPr>
            </w:pPr>
          </w:p>
        </w:tc>
      </w:tr>
      <w:tr w:rsidR="00D80987" w:rsidRPr="00222D45" w14:paraId="1FC1AF7F" w14:textId="77777777" w:rsidTr="00D80987">
        <w:tc>
          <w:tcPr>
            <w:tcW w:w="747" w:type="dxa"/>
            <w:shd w:val="clear" w:color="auto" w:fill="auto"/>
          </w:tcPr>
          <w:p w14:paraId="4AE2524F" w14:textId="48D95302" w:rsidR="00D80987" w:rsidRPr="00222D45" w:rsidRDefault="00D80987" w:rsidP="00D80987">
            <w:pPr>
              <w:jc w:val="center"/>
              <w:rPr>
                <w:rFonts w:ascii="Tondo" w:hAnsi="Tondo"/>
              </w:rPr>
            </w:pPr>
            <w:r>
              <w:rPr>
                <w:rFonts w:ascii="Tondo" w:hAnsi="Tondo"/>
              </w:rPr>
              <w:t>35</w:t>
            </w:r>
          </w:p>
        </w:tc>
        <w:tc>
          <w:tcPr>
            <w:tcW w:w="1944" w:type="dxa"/>
            <w:shd w:val="clear" w:color="auto" w:fill="auto"/>
          </w:tcPr>
          <w:p w14:paraId="677C8B9F" w14:textId="48427160" w:rsidR="00D80987" w:rsidRPr="00222D45" w:rsidRDefault="00D80987" w:rsidP="00D80987">
            <w:pPr>
              <w:jc w:val="center"/>
              <w:rPr>
                <w:rFonts w:ascii="Tondo" w:hAnsi="Tondo"/>
              </w:rPr>
            </w:pPr>
            <w:r>
              <w:rPr>
                <w:rFonts w:ascii="Tondo" w:hAnsi="Tondo"/>
              </w:rPr>
              <w:t>Considering bail conditions</w:t>
            </w:r>
          </w:p>
        </w:tc>
        <w:tc>
          <w:tcPr>
            <w:tcW w:w="5313" w:type="dxa"/>
            <w:shd w:val="clear" w:color="auto" w:fill="auto"/>
          </w:tcPr>
          <w:p w14:paraId="30053452" w14:textId="00E49D8D" w:rsidR="00D80987" w:rsidRPr="00222D45" w:rsidRDefault="00D80987" w:rsidP="00D80987">
            <w:pPr>
              <w:rPr>
                <w:rFonts w:ascii="Tondo" w:hAnsi="Tondo"/>
              </w:rPr>
            </w:pPr>
            <w:r>
              <w:rPr>
                <w:rFonts w:ascii="Tondo" w:hAnsi="Tondo"/>
              </w:rPr>
              <w:t>This section has been rewritten as the previous guidance referred to what were new practices at the time.  These (</w:t>
            </w:r>
            <w:proofErr w:type="gramStart"/>
            <w:r>
              <w:rPr>
                <w:rFonts w:ascii="Tondo" w:hAnsi="Tondo"/>
              </w:rPr>
              <w:t>e.g.</w:t>
            </w:r>
            <w:proofErr w:type="gramEnd"/>
            <w:r>
              <w:rPr>
                <w:rFonts w:ascii="Tondo" w:hAnsi="Tondo"/>
              </w:rPr>
              <w:t xml:space="preserve"> releasing under investigation – RUI) are now embedded, and the guidance has been changed to include the need to ensure risk management arrangements “</w:t>
            </w:r>
            <w:r w:rsidRPr="00D80987">
              <w:rPr>
                <w:rFonts w:ascii="Tondo" w:hAnsi="Tondo"/>
              </w:rPr>
              <w:t>strike a balance between management of risk and the rights of an</w:t>
            </w:r>
            <w:r>
              <w:rPr>
                <w:rFonts w:ascii="Tondo" w:hAnsi="Tondo"/>
              </w:rPr>
              <w:t xml:space="preserve"> </w:t>
            </w:r>
            <w:proofErr w:type="spellStart"/>
            <w:r w:rsidRPr="00D80987">
              <w:rPr>
                <w:rFonts w:ascii="Tondo" w:hAnsi="Tondo"/>
              </w:rPr>
              <w:t>unconvicted</w:t>
            </w:r>
            <w:proofErr w:type="spellEnd"/>
            <w:r w:rsidRPr="00D80987">
              <w:rPr>
                <w:rFonts w:ascii="Tondo" w:hAnsi="Tondo"/>
              </w:rPr>
              <w:t xml:space="preserve"> person (e.g. rights to privacy, family life, etc).</w:t>
            </w:r>
            <w:r>
              <w:rPr>
                <w:rFonts w:ascii="Tondo" w:hAnsi="Tondo"/>
              </w:rPr>
              <w:t>”</w:t>
            </w:r>
          </w:p>
        </w:tc>
        <w:tc>
          <w:tcPr>
            <w:tcW w:w="1622" w:type="dxa"/>
            <w:shd w:val="clear" w:color="auto" w:fill="auto"/>
          </w:tcPr>
          <w:p w14:paraId="52B4F44C" w14:textId="1E230A12" w:rsidR="00D80987" w:rsidRPr="00222D45" w:rsidRDefault="00D80987" w:rsidP="00D80987">
            <w:pPr>
              <w:rPr>
                <w:rFonts w:ascii="Tondo" w:hAnsi="Tondo"/>
              </w:rPr>
            </w:pPr>
            <w:r>
              <w:rPr>
                <w:rFonts w:ascii="Tondo" w:hAnsi="Tondo"/>
              </w:rPr>
              <w:t>Managing a report</w:t>
            </w:r>
          </w:p>
        </w:tc>
        <w:tc>
          <w:tcPr>
            <w:tcW w:w="4970" w:type="dxa"/>
            <w:shd w:val="clear" w:color="auto" w:fill="auto"/>
          </w:tcPr>
          <w:p w14:paraId="030CDE88" w14:textId="77777777" w:rsidR="00D80987" w:rsidRPr="00222D45" w:rsidRDefault="00D80987" w:rsidP="00D80987">
            <w:pPr>
              <w:rPr>
                <w:rFonts w:ascii="Tondo" w:hAnsi="Tondo"/>
              </w:rPr>
            </w:pPr>
          </w:p>
        </w:tc>
      </w:tr>
      <w:tr w:rsidR="00D80987" w:rsidRPr="00222D45" w14:paraId="2C00EA0D" w14:textId="77777777" w:rsidTr="00D80987">
        <w:tc>
          <w:tcPr>
            <w:tcW w:w="747" w:type="dxa"/>
            <w:shd w:val="clear" w:color="auto" w:fill="auto"/>
          </w:tcPr>
          <w:p w14:paraId="3B95D6DD" w14:textId="7A1323FE" w:rsidR="00D80987" w:rsidRPr="00222D45" w:rsidRDefault="00D80987" w:rsidP="00D80987">
            <w:pPr>
              <w:jc w:val="center"/>
              <w:rPr>
                <w:rFonts w:ascii="Tondo" w:hAnsi="Tondo"/>
              </w:rPr>
            </w:pPr>
            <w:r>
              <w:rPr>
                <w:rFonts w:ascii="Tondo" w:hAnsi="Tondo"/>
              </w:rPr>
              <w:t>36</w:t>
            </w:r>
          </w:p>
        </w:tc>
        <w:tc>
          <w:tcPr>
            <w:tcW w:w="1944" w:type="dxa"/>
            <w:shd w:val="clear" w:color="auto" w:fill="auto"/>
          </w:tcPr>
          <w:p w14:paraId="7E60A3B0" w14:textId="3EA9FFB7" w:rsidR="00D80987" w:rsidRPr="00222D45" w:rsidRDefault="00D80987" w:rsidP="00D80987">
            <w:pPr>
              <w:jc w:val="center"/>
              <w:rPr>
                <w:rFonts w:ascii="Tondo" w:hAnsi="Tondo"/>
              </w:rPr>
            </w:pPr>
            <w:r>
              <w:rPr>
                <w:rFonts w:ascii="Tondo" w:hAnsi="Tondo"/>
              </w:rPr>
              <w:t>The end of the criminal process</w:t>
            </w:r>
          </w:p>
        </w:tc>
        <w:tc>
          <w:tcPr>
            <w:tcW w:w="5313" w:type="dxa"/>
            <w:shd w:val="clear" w:color="auto" w:fill="auto"/>
          </w:tcPr>
          <w:p w14:paraId="5C749B1C" w14:textId="04EAEF6B" w:rsidR="00D80987" w:rsidRPr="00222D45" w:rsidRDefault="00D80987" w:rsidP="00D80987">
            <w:pPr>
              <w:rPr>
                <w:rFonts w:ascii="Tondo" w:hAnsi="Tondo"/>
              </w:rPr>
            </w:pPr>
            <w:r>
              <w:rPr>
                <w:rFonts w:ascii="Tondo" w:hAnsi="Tondo"/>
              </w:rPr>
              <w:t>Text added to set out that the end of the criminal process “</w:t>
            </w:r>
            <w:r w:rsidRPr="00D80987">
              <w:rPr>
                <w:rFonts w:ascii="Tondo" w:hAnsi="Tondo"/>
              </w:rPr>
              <w:t>should include</w:t>
            </w:r>
            <w:r>
              <w:rPr>
                <w:rFonts w:ascii="Tondo" w:hAnsi="Tondo"/>
              </w:rPr>
              <w:t xml:space="preserve"> </w:t>
            </w:r>
            <w:r w:rsidRPr="00D80987">
              <w:rPr>
                <w:rFonts w:ascii="Tondo" w:hAnsi="Tondo"/>
              </w:rPr>
              <w:t>a review of the necessary actions to keep all parties safe and meet their needs.</w:t>
            </w:r>
            <w:r>
              <w:rPr>
                <w:rFonts w:ascii="Tondo" w:hAnsi="Tondo"/>
              </w:rPr>
              <w:t>”</w:t>
            </w:r>
          </w:p>
        </w:tc>
        <w:tc>
          <w:tcPr>
            <w:tcW w:w="1622" w:type="dxa"/>
            <w:shd w:val="clear" w:color="auto" w:fill="auto"/>
          </w:tcPr>
          <w:p w14:paraId="006F6AE6" w14:textId="6FEA6204" w:rsidR="00D80987" w:rsidRPr="00222D45" w:rsidRDefault="00D80987" w:rsidP="00D80987">
            <w:pPr>
              <w:rPr>
                <w:rFonts w:ascii="Tondo" w:hAnsi="Tondo"/>
              </w:rPr>
            </w:pPr>
            <w:r>
              <w:rPr>
                <w:rFonts w:ascii="Tondo" w:hAnsi="Tondo"/>
              </w:rPr>
              <w:t>Managing a report</w:t>
            </w:r>
          </w:p>
        </w:tc>
        <w:tc>
          <w:tcPr>
            <w:tcW w:w="4970" w:type="dxa"/>
            <w:shd w:val="clear" w:color="auto" w:fill="auto"/>
          </w:tcPr>
          <w:p w14:paraId="4D64B858" w14:textId="77777777" w:rsidR="00D80987" w:rsidRPr="00222D45" w:rsidRDefault="00D80987" w:rsidP="00D80987">
            <w:pPr>
              <w:rPr>
                <w:rFonts w:ascii="Tondo" w:hAnsi="Tondo"/>
              </w:rPr>
            </w:pPr>
          </w:p>
        </w:tc>
      </w:tr>
      <w:tr w:rsidR="00D80987" w:rsidRPr="00222D45" w14:paraId="7A233307" w14:textId="77777777" w:rsidTr="00D80987">
        <w:tc>
          <w:tcPr>
            <w:tcW w:w="747" w:type="dxa"/>
            <w:shd w:val="clear" w:color="auto" w:fill="auto"/>
          </w:tcPr>
          <w:p w14:paraId="0A3B3D08" w14:textId="331BCFFF" w:rsidR="00D80987" w:rsidRPr="00222D45" w:rsidRDefault="00D80987" w:rsidP="00D80987">
            <w:pPr>
              <w:jc w:val="center"/>
              <w:rPr>
                <w:rFonts w:ascii="Tondo" w:hAnsi="Tondo"/>
              </w:rPr>
            </w:pPr>
            <w:r>
              <w:rPr>
                <w:rFonts w:ascii="Tondo" w:hAnsi="Tondo"/>
              </w:rPr>
              <w:t>37</w:t>
            </w:r>
          </w:p>
        </w:tc>
        <w:tc>
          <w:tcPr>
            <w:tcW w:w="1944" w:type="dxa"/>
            <w:shd w:val="clear" w:color="auto" w:fill="auto"/>
          </w:tcPr>
          <w:p w14:paraId="1DA109C4" w14:textId="7652B034" w:rsidR="00D80987" w:rsidRPr="00222D45" w:rsidRDefault="00D80987" w:rsidP="00D80987">
            <w:pPr>
              <w:jc w:val="center"/>
              <w:rPr>
                <w:rFonts w:ascii="Tondo" w:hAnsi="Tondo"/>
              </w:rPr>
            </w:pPr>
            <w:r>
              <w:rPr>
                <w:rFonts w:ascii="Tondo" w:hAnsi="Tondo"/>
              </w:rPr>
              <w:t xml:space="preserve">Unsubstantiated, unfounded, </w:t>
            </w:r>
            <w:proofErr w:type="gramStart"/>
            <w:r>
              <w:rPr>
                <w:rFonts w:ascii="Tondo" w:hAnsi="Tondo"/>
              </w:rPr>
              <w:t>false</w:t>
            </w:r>
            <w:proofErr w:type="gramEnd"/>
            <w:r>
              <w:rPr>
                <w:rFonts w:ascii="Tondo" w:hAnsi="Tondo"/>
              </w:rPr>
              <w:t xml:space="preserve"> or malicious reports</w:t>
            </w:r>
          </w:p>
        </w:tc>
        <w:tc>
          <w:tcPr>
            <w:tcW w:w="5313" w:type="dxa"/>
            <w:shd w:val="clear" w:color="auto" w:fill="auto"/>
          </w:tcPr>
          <w:p w14:paraId="46005DF9" w14:textId="4F53E640" w:rsidR="00D80987" w:rsidRPr="00222D45" w:rsidRDefault="00D80987" w:rsidP="00D80987">
            <w:pPr>
              <w:rPr>
                <w:rFonts w:ascii="Tondo" w:hAnsi="Tondo"/>
              </w:rPr>
            </w:pPr>
            <w:r>
              <w:rPr>
                <w:rFonts w:ascii="Tondo" w:hAnsi="Tondo"/>
              </w:rPr>
              <w:t xml:space="preserve">New section added to reflect the guidance in </w:t>
            </w:r>
            <w:proofErr w:type="spellStart"/>
            <w:r>
              <w:rPr>
                <w:rFonts w:ascii="Tondo" w:hAnsi="Tondo"/>
              </w:rPr>
              <w:t>KCSiE</w:t>
            </w:r>
            <w:proofErr w:type="spellEnd"/>
            <w:r>
              <w:rPr>
                <w:rFonts w:ascii="Tondo" w:hAnsi="Tondo"/>
              </w:rPr>
              <w:t xml:space="preserve"> 2021 around what should happen in situations that reports are unsubstantiated, unfounded, </w:t>
            </w:r>
            <w:proofErr w:type="gramStart"/>
            <w:r>
              <w:rPr>
                <w:rFonts w:ascii="Tondo" w:hAnsi="Tondo"/>
              </w:rPr>
              <w:t>false</w:t>
            </w:r>
            <w:proofErr w:type="gramEnd"/>
            <w:r>
              <w:rPr>
                <w:rFonts w:ascii="Tondo" w:hAnsi="Tondo"/>
              </w:rPr>
              <w:t xml:space="preserve"> or malicious.</w:t>
            </w:r>
          </w:p>
        </w:tc>
        <w:tc>
          <w:tcPr>
            <w:tcW w:w="1622" w:type="dxa"/>
            <w:shd w:val="clear" w:color="auto" w:fill="auto"/>
          </w:tcPr>
          <w:p w14:paraId="1721F506" w14:textId="48141686" w:rsidR="00D80987" w:rsidRPr="00222D45" w:rsidRDefault="00D80987" w:rsidP="00D80987">
            <w:pPr>
              <w:rPr>
                <w:rFonts w:ascii="Tondo" w:hAnsi="Tondo"/>
              </w:rPr>
            </w:pPr>
            <w:r>
              <w:rPr>
                <w:rFonts w:ascii="Tondo" w:hAnsi="Tondo"/>
              </w:rPr>
              <w:t>Managing a report</w:t>
            </w:r>
          </w:p>
        </w:tc>
        <w:tc>
          <w:tcPr>
            <w:tcW w:w="4970" w:type="dxa"/>
            <w:shd w:val="clear" w:color="auto" w:fill="auto"/>
          </w:tcPr>
          <w:p w14:paraId="0CC1994F" w14:textId="77777777" w:rsidR="00D80987" w:rsidRPr="00222D45" w:rsidRDefault="00D80987" w:rsidP="00D80987">
            <w:pPr>
              <w:rPr>
                <w:rFonts w:ascii="Tondo" w:hAnsi="Tondo"/>
              </w:rPr>
            </w:pPr>
          </w:p>
        </w:tc>
      </w:tr>
      <w:tr w:rsidR="00D80987" w:rsidRPr="00222D45" w14:paraId="21640DC5" w14:textId="77777777" w:rsidTr="00D80987">
        <w:tc>
          <w:tcPr>
            <w:tcW w:w="747" w:type="dxa"/>
            <w:shd w:val="clear" w:color="auto" w:fill="auto"/>
          </w:tcPr>
          <w:p w14:paraId="7C9F37DE" w14:textId="2F0FA042" w:rsidR="00D80987" w:rsidRPr="00222D45" w:rsidRDefault="00D80987" w:rsidP="00D80987">
            <w:pPr>
              <w:jc w:val="center"/>
              <w:rPr>
                <w:rFonts w:ascii="Tondo" w:hAnsi="Tondo"/>
              </w:rPr>
            </w:pPr>
            <w:r>
              <w:rPr>
                <w:rFonts w:ascii="Tondo" w:hAnsi="Tondo"/>
              </w:rPr>
              <w:t>39</w:t>
            </w:r>
          </w:p>
        </w:tc>
        <w:tc>
          <w:tcPr>
            <w:tcW w:w="1944" w:type="dxa"/>
            <w:shd w:val="clear" w:color="auto" w:fill="auto"/>
          </w:tcPr>
          <w:p w14:paraId="032F42C7" w14:textId="2C326B82" w:rsidR="00D80987" w:rsidRPr="00222D45" w:rsidRDefault="00D80987" w:rsidP="00D80987">
            <w:pPr>
              <w:jc w:val="center"/>
              <w:rPr>
                <w:rFonts w:ascii="Tondo" w:hAnsi="Tondo"/>
              </w:rPr>
            </w:pPr>
            <w:r>
              <w:rPr>
                <w:rFonts w:ascii="Tondo" w:hAnsi="Tondo"/>
              </w:rPr>
              <w:t>80</w:t>
            </w:r>
          </w:p>
        </w:tc>
        <w:tc>
          <w:tcPr>
            <w:tcW w:w="5313" w:type="dxa"/>
            <w:shd w:val="clear" w:color="auto" w:fill="auto"/>
          </w:tcPr>
          <w:p w14:paraId="47217AF9" w14:textId="4B73E896" w:rsidR="00D80987" w:rsidRPr="00222D45" w:rsidRDefault="00D80987" w:rsidP="00D80987">
            <w:pPr>
              <w:rPr>
                <w:rFonts w:ascii="Tondo" w:hAnsi="Tondo"/>
              </w:rPr>
            </w:pPr>
            <w:r>
              <w:rPr>
                <w:rFonts w:ascii="Tondo" w:hAnsi="Tondo"/>
              </w:rPr>
              <w:t>Paragraph relating to ongoing support has been expanded to include suggestions around more avenues of support for victims.</w:t>
            </w:r>
          </w:p>
        </w:tc>
        <w:tc>
          <w:tcPr>
            <w:tcW w:w="1622" w:type="dxa"/>
            <w:shd w:val="clear" w:color="auto" w:fill="auto"/>
          </w:tcPr>
          <w:p w14:paraId="6A778284" w14:textId="5C44B217" w:rsidR="00D80987" w:rsidRPr="00222D45" w:rsidRDefault="005210A6" w:rsidP="00D80987">
            <w:pPr>
              <w:rPr>
                <w:rFonts w:ascii="Tondo" w:hAnsi="Tondo"/>
              </w:rPr>
            </w:pPr>
            <w:r>
              <w:rPr>
                <w:rFonts w:ascii="Tondo" w:hAnsi="Tondo"/>
              </w:rPr>
              <w:t>Ongoing support</w:t>
            </w:r>
          </w:p>
        </w:tc>
        <w:tc>
          <w:tcPr>
            <w:tcW w:w="4970" w:type="dxa"/>
            <w:shd w:val="clear" w:color="auto" w:fill="auto"/>
          </w:tcPr>
          <w:p w14:paraId="05D6ED8E" w14:textId="77777777" w:rsidR="00D80987" w:rsidRPr="00222D45" w:rsidRDefault="00D80987" w:rsidP="00D80987">
            <w:pPr>
              <w:rPr>
                <w:rFonts w:ascii="Tondo" w:hAnsi="Tondo"/>
              </w:rPr>
            </w:pPr>
          </w:p>
        </w:tc>
      </w:tr>
      <w:tr w:rsidR="00D80987" w:rsidRPr="00222D45" w14:paraId="47E0A4E7" w14:textId="77777777" w:rsidTr="00D80987">
        <w:tc>
          <w:tcPr>
            <w:tcW w:w="747" w:type="dxa"/>
            <w:shd w:val="clear" w:color="auto" w:fill="auto"/>
          </w:tcPr>
          <w:p w14:paraId="0866F0D6" w14:textId="1BF2AE99" w:rsidR="00D80987" w:rsidRPr="00222D45" w:rsidRDefault="00D80987" w:rsidP="00D80987">
            <w:pPr>
              <w:jc w:val="center"/>
              <w:rPr>
                <w:rFonts w:ascii="Tondo" w:hAnsi="Tondo"/>
              </w:rPr>
            </w:pPr>
            <w:r>
              <w:rPr>
                <w:rFonts w:ascii="Tondo" w:hAnsi="Tondo"/>
              </w:rPr>
              <w:t>44</w:t>
            </w:r>
          </w:p>
        </w:tc>
        <w:tc>
          <w:tcPr>
            <w:tcW w:w="1944" w:type="dxa"/>
            <w:shd w:val="clear" w:color="auto" w:fill="auto"/>
          </w:tcPr>
          <w:p w14:paraId="7032052D" w14:textId="329321D5" w:rsidR="00D80987" w:rsidRPr="00222D45" w:rsidRDefault="00D80987" w:rsidP="00D80987">
            <w:pPr>
              <w:jc w:val="center"/>
              <w:rPr>
                <w:rFonts w:ascii="Tondo" w:hAnsi="Tondo"/>
              </w:rPr>
            </w:pPr>
            <w:r>
              <w:rPr>
                <w:rFonts w:ascii="Tondo" w:hAnsi="Tondo"/>
              </w:rPr>
              <w:t>88</w:t>
            </w:r>
          </w:p>
        </w:tc>
        <w:tc>
          <w:tcPr>
            <w:tcW w:w="5313" w:type="dxa"/>
            <w:shd w:val="clear" w:color="auto" w:fill="auto"/>
          </w:tcPr>
          <w:p w14:paraId="74D3BA05" w14:textId="77777777" w:rsidR="00D80987" w:rsidRDefault="00D80987" w:rsidP="005210A6">
            <w:pPr>
              <w:rPr>
                <w:rFonts w:ascii="Tondo" w:hAnsi="Tondo"/>
              </w:rPr>
            </w:pPr>
            <w:r>
              <w:rPr>
                <w:rFonts w:ascii="Tondo" w:hAnsi="Tondo"/>
              </w:rPr>
              <w:t>Addition made to this paragraph looking at balancing the need to safeguard the victim as well as educating, supporting and potentially disciplining the al</w:t>
            </w:r>
            <w:r w:rsidR="005210A6">
              <w:rPr>
                <w:rFonts w:ascii="Tondo" w:hAnsi="Tondo"/>
              </w:rPr>
              <w:t>leged perpetrator(s).  The addition reads: “</w:t>
            </w:r>
            <w:r w:rsidR="005210A6" w:rsidRPr="005210A6">
              <w:rPr>
                <w:rFonts w:ascii="Tondo" w:hAnsi="Tondo"/>
              </w:rPr>
              <w:t>Taking disciplinary action and still providing appropriate</w:t>
            </w:r>
            <w:r w:rsidR="005210A6">
              <w:rPr>
                <w:rFonts w:ascii="Tondo" w:hAnsi="Tondo"/>
              </w:rPr>
              <w:t xml:space="preserve"> </w:t>
            </w:r>
            <w:r w:rsidR="005210A6" w:rsidRPr="005210A6">
              <w:rPr>
                <w:rFonts w:ascii="Tondo" w:hAnsi="Tondo"/>
              </w:rPr>
              <w:t>support are not mutually exclusive actions. They can, and should, occur at the</w:t>
            </w:r>
            <w:r w:rsidR="005210A6">
              <w:rPr>
                <w:rFonts w:ascii="Tondo" w:hAnsi="Tondo"/>
              </w:rPr>
              <w:t xml:space="preserve"> </w:t>
            </w:r>
            <w:r w:rsidR="005210A6" w:rsidRPr="005210A6">
              <w:rPr>
                <w:rFonts w:ascii="Tondo" w:hAnsi="Tondo"/>
              </w:rPr>
              <w:t>same time if necessary.</w:t>
            </w:r>
            <w:r w:rsidR="005210A6">
              <w:rPr>
                <w:rFonts w:ascii="Tondo" w:hAnsi="Tondo"/>
              </w:rPr>
              <w:t>”</w:t>
            </w:r>
          </w:p>
          <w:p w14:paraId="49FD7B78" w14:textId="612647EB" w:rsidR="005210A6" w:rsidRPr="00222D45" w:rsidRDefault="005210A6" w:rsidP="005210A6">
            <w:pPr>
              <w:rPr>
                <w:rFonts w:ascii="Tondo" w:hAnsi="Tondo"/>
              </w:rPr>
            </w:pPr>
            <w:r>
              <w:rPr>
                <w:rFonts w:ascii="Tondo" w:hAnsi="Tondo"/>
              </w:rPr>
              <w:t>The section has also had further information added about supporting perpetrators to stop re-offending.</w:t>
            </w:r>
          </w:p>
        </w:tc>
        <w:tc>
          <w:tcPr>
            <w:tcW w:w="1622" w:type="dxa"/>
            <w:shd w:val="clear" w:color="auto" w:fill="auto"/>
          </w:tcPr>
          <w:p w14:paraId="1C7688A2" w14:textId="539322F9" w:rsidR="00D80987" w:rsidRPr="00222D45" w:rsidRDefault="005210A6" w:rsidP="00D80987">
            <w:pPr>
              <w:rPr>
                <w:rFonts w:ascii="Tondo" w:hAnsi="Tondo"/>
              </w:rPr>
            </w:pPr>
            <w:r>
              <w:rPr>
                <w:rFonts w:ascii="Tondo" w:hAnsi="Tondo"/>
              </w:rPr>
              <w:t>Ongoing support</w:t>
            </w:r>
          </w:p>
        </w:tc>
        <w:tc>
          <w:tcPr>
            <w:tcW w:w="4970" w:type="dxa"/>
            <w:shd w:val="clear" w:color="auto" w:fill="auto"/>
          </w:tcPr>
          <w:p w14:paraId="0A6460C2" w14:textId="41FA9376" w:rsidR="00D80987" w:rsidRPr="00222D45" w:rsidRDefault="005210A6" w:rsidP="005210A6">
            <w:pPr>
              <w:rPr>
                <w:rFonts w:ascii="Tondo" w:hAnsi="Tondo"/>
              </w:rPr>
            </w:pPr>
            <w:r>
              <w:rPr>
                <w:rFonts w:ascii="Tondo" w:hAnsi="Tondo"/>
              </w:rPr>
              <w:t>It should also be noted that the heading of this section has been changed.  Originally it was “Safeguarding and supporting the alleged perpetrator” and it has now been expanded to “</w:t>
            </w:r>
            <w:r w:rsidRPr="005210A6">
              <w:rPr>
                <w:rFonts w:ascii="Tondo" w:hAnsi="Tondo"/>
              </w:rPr>
              <w:t>Safeguarding and supporting the alleged perpetrator(s) and children</w:t>
            </w:r>
            <w:r>
              <w:rPr>
                <w:rFonts w:ascii="Tondo" w:hAnsi="Tondo"/>
              </w:rPr>
              <w:t xml:space="preserve"> </w:t>
            </w:r>
            <w:r w:rsidRPr="005210A6">
              <w:rPr>
                <w:rFonts w:ascii="Tondo" w:hAnsi="Tondo"/>
              </w:rPr>
              <w:t>and young people who have displayed harmful sexual behaviour</w:t>
            </w:r>
            <w:r>
              <w:rPr>
                <w:rFonts w:ascii="Tondo" w:hAnsi="Tondo"/>
              </w:rPr>
              <w:t>”, broadening the scope of potential children and young people to which this section is applicable.</w:t>
            </w:r>
          </w:p>
        </w:tc>
      </w:tr>
      <w:tr w:rsidR="00D80987" w:rsidRPr="00222D45" w14:paraId="51A6A11B" w14:textId="77777777" w:rsidTr="00707CB5">
        <w:trPr>
          <w:trHeight w:val="238"/>
        </w:trPr>
        <w:tc>
          <w:tcPr>
            <w:tcW w:w="14596" w:type="dxa"/>
            <w:gridSpan w:val="5"/>
            <w:shd w:val="clear" w:color="auto" w:fill="69CDE8"/>
            <w:vAlign w:val="center"/>
          </w:tcPr>
          <w:p w14:paraId="5C29FB9D" w14:textId="56D4B0D3" w:rsidR="00D80987" w:rsidRPr="00222D45" w:rsidRDefault="005210A6" w:rsidP="00D80987">
            <w:pPr>
              <w:rPr>
                <w:rFonts w:ascii="Tondo" w:hAnsi="Tondo"/>
                <w:b/>
                <w:bCs/>
              </w:rPr>
            </w:pPr>
            <w:r w:rsidRPr="005210A6">
              <w:rPr>
                <w:rFonts w:ascii="Tondo" w:hAnsi="Tondo"/>
                <w:b/>
                <w:bCs/>
              </w:rPr>
              <w:t>Annex A: Further information</w:t>
            </w:r>
          </w:p>
        </w:tc>
      </w:tr>
      <w:tr w:rsidR="005210A6" w:rsidRPr="00222D45" w14:paraId="6D3A36DC" w14:textId="77777777" w:rsidTr="005C468E">
        <w:tc>
          <w:tcPr>
            <w:tcW w:w="9626" w:type="dxa"/>
            <w:gridSpan w:val="4"/>
            <w:shd w:val="clear" w:color="auto" w:fill="auto"/>
          </w:tcPr>
          <w:p w14:paraId="2DB46EF2" w14:textId="6363976A" w:rsidR="005210A6" w:rsidRPr="00222D45" w:rsidRDefault="005210A6" w:rsidP="00D80987">
            <w:pPr>
              <w:rPr>
                <w:rFonts w:ascii="Tondo" w:hAnsi="Tondo"/>
              </w:rPr>
            </w:pPr>
            <w:r>
              <w:rPr>
                <w:rFonts w:ascii="Tondo" w:hAnsi="Tondo"/>
              </w:rPr>
              <w:t>The appendix sets out lists of other organisations / sources of information which can help in relation to sexual violence / sexual harassment.  This has been expanded and bought up to date.</w:t>
            </w:r>
          </w:p>
        </w:tc>
        <w:tc>
          <w:tcPr>
            <w:tcW w:w="4970" w:type="dxa"/>
            <w:shd w:val="clear" w:color="auto" w:fill="auto"/>
          </w:tcPr>
          <w:p w14:paraId="7E110002" w14:textId="3C7D59C6" w:rsidR="005210A6" w:rsidRPr="00222D45" w:rsidRDefault="005210A6" w:rsidP="00D80987">
            <w:pPr>
              <w:rPr>
                <w:rFonts w:ascii="Tondo" w:hAnsi="Tondo"/>
              </w:rPr>
            </w:pPr>
          </w:p>
        </w:tc>
      </w:tr>
    </w:tbl>
    <w:p w14:paraId="2F9CE1E0" w14:textId="77777777" w:rsidR="00A05C48" w:rsidRPr="0029537A" w:rsidRDefault="00A05C48" w:rsidP="0029537A">
      <w:pPr>
        <w:spacing w:after="0" w:line="240" w:lineRule="auto"/>
        <w:rPr>
          <w:rFonts w:ascii="Tondo" w:hAnsi="Tondo"/>
        </w:rPr>
      </w:pPr>
    </w:p>
    <w:sectPr w:rsidR="00A05C48" w:rsidRPr="0029537A" w:rsidSect="00EB7BB4">
      <w:footerReference w:type="default" r:id="rId11"/>
      <w:headerReference w:type="first" r:id="rId12"/>
      <w:footerReference w:type="first" r:id="rId13"/>
      <w:pgSz w:w="16838" w:h="11906" w:orient="landscape"/>
      <w:pgMar w:top="720" w:right="1560" w:bottom="1133" w:left="1276" w:header="708"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2663" w14:textId="77777777" w:rsidR="00435BB2" w:rsidRDefault="00435BB2" w:rsidP="00F941F2">
      <w:pPr>
        <w:spacing w:after="0" w:line="240" w:lineRule="auto"/>
      </w:pPr>
      <w:r>
        <w:separator/>
      </w:r>
    </w:p>
  </w:endnote>
  <w:endnote w:type="continuationSeparator" w:id="0">
    <w:p w14:paraId="4DC7567E" w14:textId="77777777" w:rsidR="00435BB2" w:rsidRDefault="00435BB2" w:rsidP="00F9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Tondo">
    <w:altName w:val="Calibri"/>
    <w:charset w:val="00"/>
    <w:family w:val="swiss"/>
    <w:pitch w:val="variable"/>
    <w:sig w:usb0="A00002AF"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784D" w14:textId="5D23F818" w:rsidR="00EB7BB4" w:rsidRPr="00F2031E" w:rsidRDefault="00681CF7" w:rsidP="00EB7BB4">
    <w:pPr>
      <w:pStyle w:val="Footer"/>
      <w:rPr>
        <w:rFonts w:ascii="Tondo" w:hAnsi="Tondo"/>
        <w:b/>
        <w:color w:val="4A205D"/>
        <w:sz w:val="28"/>
      </w:rPr>
    </w:pPr>
    <w:r w:rsidRPr="00A05C48">
      <w:rPr>
        <w:rFonts w:ascii="Tondo" w:hAnsi="Tondo"/>
        <w:b/>
        <w:noProof/>
        <w:color w:val="4A205D"/>
        <w:sz w:val="28"/>
        <w:szCs w:val="28"/>
      </w:rPr>
      <w:drawing>
        <wp:anchor distT="0" distB="0" distL="114300" distR="114300" simplePos="0" relativeHeight="251654656" behindDoc="1" locked="0" layoutInCell="1" allowOverlap="1" wp14:anchorId="5FABDF01" wp14:editId="4A4F4FF7">
          <wp:simplePos x="0" y="0"/>
          <wp:positionH relativeFrom="column">
            <wp:posOffset>7397115</wp:posOffset>
          </wp:positionH>
          <wp:positionV relativeFrom="paragraph">
            <wp:posOffset>-611505</wp:posOffset>
          </wp:positionV>
          <wp:extent cx="2609850" cy="160274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1602740"/>
                  </a:xfrm>
                  <a:prstGeom prst="rect">
                    <a:avLst/>
                  </a:prstGeom>
                  <a:noFill/>
                </pic:spPr>
              </pic:pic>
            </a:graphicData>
          </a:graphic>
          <wp14:sizeRelH relativeFrom="page">
            <wp14:pctWidth>0</wp14:pctWidth>
          </wp14:sizeRelH>
          <wp14:sizeRelV relativeFrom="page">
            <wp14:pctHeight>0</wp14:pctHeight>
          </wp14:sizeRelV>
        </wp:anchor>
      </w:drawing>
    </w:r>
    <w:r w:rsidR="00E44407" w:rsidRPr="00A05C48">
      <w:rPr>
        <w:rFonts w:ascii="Tondo" w:hAnsi="Tondo"/>
        <w:b/>
        <w:color w:val="4A205D"/>
        <w:sz w:val="28"/>
        <w:szCs w:val="28"/>
      </w:rPr>
      <w:t>h</w:t>
    </w:r>
    <w:r w:rsidR="00EB7BB4" w:rsidRPr="00F2031E">
      <w:rPr>
        <w:rFonts w:ascii="Tondo" w:hAnsi="Tondo"/>
        <w:b/>
        <w:color w:val="4A205D"/>
        <w:sz w:val="28"/>
      </w:rPr>
      <w:t>ttps://safeguarding.network</w:t>
    </w:r>
    <w:r w:rsidR="00EB7BB4">
      <w:rPr>
        <w:rFonts w:ascii="Tondo" w:hAnsi="Tondo"/>
        <w:b/>
        <w:color w:val="4A205D"/>
        <w:sz w:val="28"/>
      </w:rPr>
      <w:t>/</w:t>
    </w:r>
    <w:r w:rsidR="0028264C">
      <w:rPr>
        <w:rFonts w:ascii="Tondo" w:hAnsi="Tondo"/>
        <w:b/>
        <w:color w:val="4A205D"/>
        <w:sz w:val="28"/>
      </w:rPr>
      <w:t>sexual-violence</w:t>
    </w:r>
  </w:p>
  <w:p w14:paraId="3A7D8232" w14:textId="5FA8320B" w:rsidR="00E44407" w:rsidRPr="00A05C48" w:rsidRDefault="00EB7BB4" w:rsidP="00EB7BB4">
    <w:pPr>
      <w:pStyle w:val="Footer"/>
      <w:rPr>
        <w:rFonts w:ascii="Tondo" w:hAnsi="Tondo"/>
        <w:color w:val="4A205D"/>
        <w:sz w:val="28"/>
        <w:szCs w:val="28"/>
      </w:rPr>
    </w:pPr>
    <w:r w:rsidRPr="00F2031E">
      <w:rPr>
        <w:rFonts w:ascii="Tondo" w:hAnsi="Tondo"/>
        <w:b/>
        <w:color w:val="EB3377"/>
        <w:sz w:val="28"/>
      </w:rPr>
      <w:t>confidence</w:t>
    </w:r>
    <w:r w:rsidRPr="00F2031E">
      <w:rPr>
        <w:rFonts w:ascii="Tondo" w:hAnsi="Tondo"/>
        <w:color w:val="4A205D"/>
        <w:sz w:val="28"/>
      </w:rPr>
      <w:t xml:space="preserve"> in safeguarding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4188" w14:textId="3CFA13DB" w:rsidR="00F2031E" w:rsidRPr="00F2031E" w:rsidRDefault="00F2031E" w:rsidP="00EB7BB4">
    <w:pPr>
      <w:pStyle w:val="Footer"/>
      <w:rPr>
        <w:rFonts w:ascii="Tondo" w:hAnsi="Tondo"/>
        <w:b/>
        <w:color w:val="4A205D"/>
        <w:sz w:val="28"/>
      </w:rPr>
    </w:pPr>
    <w:r w:rsidRPr="00F2031E">
      <w:rPr>
        <w:rFonts w:ascii="Tondo" w:hAnsi="Tondo"/>
        <w:b/>
        <w:noProof/>
        <w:color w:val="4A205D"/>
        <w:sz w:val="28"/>
      </w:rPr>
      <w:drawing>
        <wp:anchor distT="0" distB="0" distL="114300" distR="114300" simplePos="0" relativeHeight="251670016" behindDoc="1" locked="0" layoutInCell="1" allowOverlap="1" wp14:anchorId="701A29EB" wp14:editId="4752A5A8">
          <wp:simplePos x="0" y="0"/>
          <wp:positionH relativeFrom="column">
            <wp:posOffset>7339965</wp:posOffset>
          </wp:positionH>
          <wp:positionV relativeFrom="paragraph">
            <wp:posOffset>-611505</wp:posOffset>
          </wp:positionV>
          <wp:extent cx="2609850" cy="160274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1602740"/>
                  </a:xfrm>
                  <a:prstGeom prst="rect">
                    <a:avLst/>
                  </a:prstGeom>
                  <a:noFill/>
                </pic:spPr>
              </pic:pic>
            </a:graphicData>
          </a:graphic>
          <wp14:sizeRelH relativeFrom="page">
            <wp14:pctWidth>0</wp14:pctWidth>
          </wp14:sizeRelH>
          <wp14:sizeRelV relativeFrom="page">
            <wp14:pctHeight>0</wp14:pctHeight>
          </wp14:sizeRelV>
        </wp:anchor>
      </w:drawing>
    </w:r>
    <w:r w:rsidRPr="00F2031E">
      <w:rPr>
        <w:rFonts w:ascii="Tondo" w:hAnsi="Tondo"/>
        <w:b/>
        <w:color w:val="4A205D"/>
        <w:sz w:val="28"/>
      </w:rPr>
      <w:t>https://safeguarding.network</w:t>
    </w:r>
    <w:r w:rsidR="00EB7BB4">
      <w:rPr>
        <w:rFonts w:ascii="Tondo" w:hAnsi="Tondo"/>
        <w:b/>
        <w:color w:val="4A205D"/>
        <w:sz w:val="28"/>
      </w:rPr>
      <w:t>/</w:t>
    </w:r>
    <w:r w:rsidR="0028264C">
      <w:rPr>
        <w:rFonts w:ascii="Tondo" w:hAnsi="Tondo"/>
        <w:b/>
        <w:color w:val="4A205D"/>
        <w:sz w:val="28"/>
      </w:rPr>
      <w:t>sexual-violence</w:t>
    </w:r>
  </w:p>
  <w:p w14:paraId="18D6AFA3" w14:textId="77777777" w:rsidR="00F2031E" w:rsidRPr="00F2031E" w:rsidRDefault="00F2031E" w:rsidP="00EB7BB4">
    <w:pPr>
      <w:pStyle w:val="Footer"/>
      <w:rPr>
        <w:rFonts w:ascii="Tondo" w:hAnsi="Tondo"/>
        <w:color w:val="4A205D"/>
        <w:sz w:val="28"/>
      </w:rPr>
    </w:pPr>
    <w:r w:rsidRPr="00F2031E">
      <w:rPr>
        <w:rFonts w:ascii="Tondo" w:hAnsi="Tondo"/>
        <w:b/>
        <w:color w:val="EB3377"/>
        <w:sz w:val="28"/>
      </w:rPr>
      <w:t>confidence</w:t>
    </w:r>
    <w:r w:rsidRPr="00F2031E">
      <w:rPr>
        <w:rFonts w:ascii="Tondo" w:hAnsi="Tondo"/>
        <w:color w:val="4A205D"/>
        <w:sz w:val="28"/>
      </w:rPr>
      <w:t xml:space="preserve"> in safeguarding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8303" w14:textId="77777777" w:rsidR="00435BB2" w:rsidRDefault="00435BB2" w:rsidP="00F941F2">
      <w:pPr>
        <w:spacing w:after="0" w:line="240" w:lineRule="auto"/>
      </w:pPr>
      <w:r>
        <w:separator/>
      </w:r>
    </w:p>
  </w:footnote>
  <w:footnote w:type="continuationSeparator" w:id="0">
    <w:p w14:paraId="2174AA6E" w14:textId="77777777" w:rsidR="00435BB2" w:rsidRDefault="00435BB2" w:rsidP="00F9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69AB" w14:textId="50C7F033" w:rsidR="00F2031E" w:rsidRDefault="00EB7BB4">
    <w:pPr>
      <w:pStyle w:val="Header"/>
    </w:pPr>
    <w:r w:rsidRPr="00F2031E">
      <w:rPr>
        <w:noProof/>
      </w:rPr>
      <w:drawing>
        <wp:anchor distT="0" distB="0" distL="114300" distR="114300" simplePos="0" relativeHeight="251667968" behindDoc="0" locked="0" layoutInCell="1" allowOverlap="1" wp14:anchorId="023C16A0" wp14:editId="666C53FE">
          <wp:simplePos x="0" y="0"/>
          <wp:positionH relativeFrom="column">
            <wp:posOffset>-480060</wp:posOffset>
          </wp:positionH>
          <wp:positionV relativeFrom="paragraph">
            <wp:posOffset>-220980</wp:posOffset>
          </wp:positionV>
          <wp:extent cx="2235200" cy="608330"/>
          <wp:effectExtent l="0" t="0" r="0" b="1270"/>
          <wp:wrapNone/>
          <wp:docPr id="117" name="Picture 117" descr="SN_logo_on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N_logo_on_purpl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6083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F2031E" w:rsidRPr="00F2031E">
      <w:rPr>
        <w:noProof/>
      </w:rPr>
      <w:drawing>
        <wp:anchor distT="0" distB="0" distL="114300" distR="114300" simplePos="0" relativeHeight="251666944" behindDoc="0" locked="0" layoutInCell="1" allowOverlap="1" wp14:anchorId="42A72DEE" wp14:editId="57ABDAD7">
          <wp:simplePos x="0" y="0"/>
          <wp:positionH relativeFrom="column">
            <wp:posOffset>-800735</wp:posOffset>
          </wp:positionH>
          <wp:positionV relativeFrom="paragraph">
            <wp:posOffset>-440055</wp:posOffset>
          </wp:positionV>
          <wp:extent cx="10687050" cy="1800225"/>
          <wp:effectExtent l="0" t="0" r="0" b="952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7050" cy="1800225"/>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BA"/>
    <w:multiLevelType w:val="hybridMultilevel"/>
    <w:tmpl w:val="FDEAB146"/>
    <w:lvl w:ilvl="0" w:tplc="508A17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3217E"/>
    <w:multiLevelType w:val="hybridMultilevel"/>
    <w:tmpl w:val="40B6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65735"/>
    <w:multiLevelType w:val="hybridMultilevel"/>
    <w:tmpl w:val="8EDC0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86175"/>
    <w:multiLevelType w:val="hybridMultilevel"/>
    <w:tmpl w:val="AECE93E4"/>
    <w:lvl w:ilvl="0" w:tplc="508A17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4D4D"/>
    <w:multiLevelType w:val="hybridMultilevel"/>
    <w:tmpl w:val="9148E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96722"/>
    <w:multiLevelType w:val="hybridMultilevel"/>
    <w:tmpl w:val="BDAACFF4"/>
    <w:lvl w:ilvl="0" w:tplc="45D8D1EE">
      <w:start w:val="1"/>
      <w:numFmt w:val="bullet"/>
      <w:lvlText w:val="•"/>
      <w:lvlJc w:val="left"/>
      <w:pPr>
        <w:tabs>
          <w:tab w:val="num" w:pos="720"/>
        </w:tabs>
        <w:ind w:left="720" w:hanging="360"/>
      </w:pPr>
      <w:rPr>
        <w:rFonts w:ascii="Arial" w:hAnsi="Arial" w:hint="default"/>
      </w:rPr>
    </w:lvl>
    <w:lvl w:ilvl="1" w:tplc="1F9C2B88" w:tentative="1">
      <w:start w:val="1"/>
      <w:numFmt w:val="bullet"/>
      <w:lvlText w:val="•"/>
      <w:lvlJc w:val="left"/>
      <w:pPr>
        <w:tabs>
          <w:tab w:val="num" w:pos="1440"/>
        </w:tabs>
        <w:ind w:left="1440" w:hanging="360"/>
      </w:pPr>
      <w:rPr>
        <w:rFonts w:ascii="Arial" w:hAnsi="Arial" w:hint="default"/>
      </w:rPr>
    </w:lvl>
    <w:lvl w:ilvl="2" w:tplc="5C8CC0B8" w:tentative="1">
      <w:start w:val="1"/>
      <w:numFmt w:val="bullet"/>
      <w:lvlText w:val="•"/>
      <w:lvlJc w:val="left"/>
      <w:pPr>
        <w:tabs>
          <w:tab w:val="num" w:pos="2160"/>
        </w:tabs>
        <w:ind w:left="2160" w:hanging="360"/>
      </w:pPr>
      <w:rPr>
        <w:rFonts w:ascii="Arial" w:hAnsi="Arial" w:hint="default"/>
      </w:rPr>
    </w:lvl>
    <w:lvl w:ilvl="3" w:tplc="C7407E6E" w:tentative="1">
      <w:start w:val="1"/>
      <w:numFmt w:val="bullet"/>
      <w:lvlText w:val="•"/>
      <w:lvlJc w:val="left"/>
      <w:pPr>
        <w:tabs>
          <w:tab w:val="num" w:pos="2880"/>
        </w:tabs>
        <w:ind w:left="2880" w:hanging="360"/>
      </w:pPr>
      <w:rPr>
        <w:rFonts w:ascii="Arial" w:hAnsi="Arial" w:hint="default"/>
      </w:rPr>
    </w:lvl>
    <w:lvl w:ilvl="4" w:tplc="CEA8B0CE" w:tentative="1">
      <w:start w:val="1"/>
      <w:numFmt w:val="bullet"/>
      <w:lvlText w:val="•"/>
      <w:lvlJc w:val="left"/>
      <w:pPr>
        <w:tabs>
          <w:tab w:val="num" w:pos="3600"/>
        </w:tabs>
        <w:ind w:left="3600" w:hanging="360"/>
      </w:pPr>
      <w:rPr>
        <w:rFonts w:ascii="Arial" w:hAnsi="Arial" w:hint="default"/>
      </w:rPr>
    </w:lvl>
    <w:lvl w:ilvl="5" w:tplc="6D8C13DC" w:tentative="1">
      <w:start w:val="1"/>
      <w:numFmt w:val="bullet"/>
      <w:lvlText w:val="•"/>
      <w:lvlJc w:val="left"/>
      <w:pPr>
        <w:tabs>
          <w:tab w:val="num" w:pos="4320"/>
        </w:tabs>
        <w:ind w:left="4320" w:hanging="360"/>
      </w:pPr>
      <w:rPr>
        <w:rFonts w:ascii="Arial" w:hAnsi="Arial" w:hint="default"/>
      </w:rPr>
    </w:lvl>
    <w:lvl w:ilvl="6" w:tplc="6198833E" w:tentative="1">
      <w:start w:val="1"/>
      <w:numFmt w:val="bullet"/>
      <w:lvlText w:val="•"/>
      <w:lvlJc w:val="left"/>
      <w:pPr>
        <w:tabs>
          <w:tab w:val="num" w:pos="5040"/>
        </w:tabs>
        <w:ind w:left="5040" w:hanging="360"/>
      </w:pPr>
      <w:rPr>
        <w:rFonts w:ascii="Arial" w:hAnsi="Arial" w:hint="default"/>
      </w:rPr>
    </w:lvl>
    <w:lvl w:ilvl="7" w:tplc="8084BC6A" w:tentative="1">
      <w:start w:val="1"/>
      <w:numFmt w:val="bullet"/>
      <w:lvlText w:val="•"/>
      <w:lvlJc w:val="left"/>
      <w:pPr>
        <w:tabs>
          <w:tab w:val="num" w:pos="5760"/>
        </w:tabs>
        <w:ind w:left="5760" w:hanging="360"/>
      </w:pPr>
      <w:rPr>
        <w:rFonts w:ascii="Arial" w:hAnsi="Arial" w:hint="default"/>
      </w:rPr>
    </w:lvl>
    <w:lvl w:ilvl="8" w:tplc="E10659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6334CE"/>
    <w:multiLevelType w:val="hybridMultilevel"/>
    <w:tmpl w:val="7450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929A0"/>
    <w:multiLevelType w:val="hybridMultilevel"/>
    <w:tmpl w:val="1ED0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22733"/>
    <w:multiLevelType w:val="hybridMultilevel"/>
    <w:tmpl w:val="35F4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078C4"/>
    <w:multiLevelType w:val="hybridMultilevel"/>
    <w:tmpl w:val="70980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B62CE"/>
    <w:multiLevelType w:val="hybridMultilevel"/>
    <w:tmpl w:val="9C8C3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7821F4"/>
    <w:multiLevelType w:val="hybridMultilevel"/>
    <w:tmpl w:val="73980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3662A"/>
    <w:multiLevelType w:val="hybridMultilevel"/>
    <w:tmpl w:val="48D09FF2"/>
    <w:lvl w:ilvl="0" w:tplc="508A17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E3D02"/>
    <w:multiLevelType w:val="hybridMultilevel"/>
    <w:tmpl w:val="24369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6D584F"/>
    <w:multiLevelType w:val="hybridMultilevel"/>
    <w:tmpl w:val="1EB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E5D66"/>
    <w:multiLevelType w:val="hybridMultilevel"/>
    <w:tmpl w:val="930CA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806C79"/>
    <w:multiLevelType w:val="hybridMultilevel"/>
    <w:tmpl w:val="6DD86EA6"/>
    <w:lvl w:ilvl="0" w:tplc="45D8BB08">
      <w:start w:val="1"/>
      <w:numFmt w:val="bullet"/>
      <w:lvlText w:val="•"/>
      <w:lvlJc w:val="left"/>
      <w:pPr>
        <w:tabs>
          <w:tab w:val="num" w:pos="720"/>
        </w:tabs>
        <w:ind w:left="720" w:hanging="360"/>
      </w:pPr>
      <w:rPr>
        <w:rFonts w:ascii="Arial" w:hAnsi="Arial" w:hint="default"/>
      </w:rPr>
    </w:lvl>
    <w:lvl w:ilvl="1" w:tplc="90941626" w:tentative="1">
      <w:start w:val="1"/>
      <w:numFmt w:val="bullet"/>
      <w:lvlText w:val="•"/>
      <w:lvlJc w:val="left"/>
      <w:pPr>
        <w:tabs>
          <w:tab w:val="num" w:pos="1440"/>
        </w:tabs>
        <w:ind w:left="1440" w:hanging="360"/>
      </w:pPr>
      <w:rPr>
        <w:rFonts w:ascii="Arial" w:hAnsi="Arial" w:hint="default"/>
      </w:rPr>
    </w:lvl>
    <w:lvl w:ilvl="2" w:tplc="005C4BFC" w:tentative="1">
      <w:start w:val="1"/>
      <w:numFmt w:val="bullet"/>
      <w:lvlText w:val="•"/>
      <w:lvlJc w:val="left"/>
      <w:pPr>
        <w:tabs>
          <w:tab w:val="num" w:pos="2160"/>
        </w:tabs>
        <w:ind w:left="2160" w:hanging="360"/>
      </w:pPr>
      <w:rPr>
        <w:rFonts w:ascii="Arial" w:hAnsi="Arial" w:hint="default"/>
      </w:rPr>
    </w:lvl>
    <w:lvl w:ilvl="3" w:tplc="4F7CA708" w:tentative="1">
      <w:start w:val="1"/>
      <w:numFmt w:val="bullet"/>
      <w:lvlText w:val="•"/>
      <w:lvlJc w:val="left"/>
      <w:pPr>
        <w:tabs>
          <w:tab w:val="num" w:pos="2880"/>
        </w:tabs>
        <w:ind w:left="2880" w:hanging="360"/>
      </w:pPr>
      <w:rPr>
        <w:rFonts w:ascii="Arial" w:hAnsi="Arial" w:hint="default"/>
      </w:rPr>
    </w:lvl>
    <w:lvl w:ilvl="4" w:tplc="63CACD5C" w:tentative="1">
      <w:start w:val="1"/>
      <w:numFmt w:val="bullet"/>
      <w:lvlText w:val="•"/>
      <w:lvlJc w:val="left"/>
      <w:pPr>
        <w:tabs>
          <w:tab w:val="num" w:pos="3600"/>
        </w:tabs>
        <w:ind w:left="3600" w:hanging="360"/>
      </w:pPr>
      <w:rPr>
        <w:rFonts w:ascii="Arial" w:hAnsi="Arial" w:hint="default"/>
      </w:rPr>
    </w:lvl>
    <w:lvl w:ilvl="5" w:tplc="B824F212" w:tentative="1">
      <w:start w:val="1"/>
      <w:numFmt w:val="bullet"/>
      <w:lvlText w:val="•"/>
      <w:lvlJc w:val="left"/>
      <w:pPr>
        <w:tabs>
          <w:tab w:val="num" w:pos="4320"/>
        </w:tabs>
        <w:ind w:left="4320" w:hanging="360"/>
      </w:pPr>
      <w:rPr>
        <w:rFonts w:ascii="Arial" w:hAnsi="Arial" w:hint="default"/>
      </w:rPr>
    </w:lvl>
    <w:lvl w:ilvl="6" w:tplc="60D4185C" w:tentative="1">
      <w:start w:val="1"/>
      <w:numFmt w:val="bullet"/>
      <w:lvlText w:val="•"/>
      <w:lvlJc w:val="left"/>
      <w:pPr>
        <w:tabs>
          <w:tab w:val="num" w:pos="5040"/>
        </w:tabs>
        <w:ind w:left="5040" w:hanging="360"/>
      </w:pPr>
      <w:rPr>
        <w:rFonts w:ascii="Arial" w:hAnsi="Arial" w:hint="default"/>
      </w:rPr>
    </w:lvl>
    <w:lvl w:ilvl="7" w:tplc="F0BE6540" w:tentative="1">
      <w:start w:val="1"/>
      <w:numFmt w:val="bullet"/>
      <w:lvlText w:val="•"/>
      <w:lvlJc w:val="left"/>
      <w:pPr>
        <w:tabs>
          <w:tab w:val="num" w:pos="5760"/>
        </w:tabs>
        <w:ind w:left="5760" w:hanging="360"/>
      </w:pPr>
      <w:rPr>
        <w:rFonts w:ascii="Arial" w:hAnsi="Arial" w:hint="default"/>
      </w:rPr>
    </w:lvl>
    <w:lvl w:ilvl="8" w:tplc="A71431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5E09C1"/>
    <w:multiLevelType w:val="hybridMultilevel"/>
    <w:tmpl w:val="9E8C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56DBF"/>
    <w:multiLevelType w:val="hybridMultilevel"/>
    <w:tmpl w:val="0564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B041A"/>
    <w:multiLevelType w:val="hybridMultilevel"/>
    <w:tmpl w:val="07F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F2990"/>
    <w:multiLevelType w:val="hybridMultilevel"/>
    <w:tmpl w:val="64EC4CE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21" w15:restartNumberingAfterBreak="0">
    <w:nsid w:val="5E787184"/>
    <w:multiLevelType w:val="hybridMultilevel"/>
    <w:tmpl w:val="1D466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753352"/>
    <w:multiLevelType w:val="hybridMultilevel"/>
    <w:tmpl w:val="4164EE78"/>
    <w:lvl w:ilvl="0" w:tplc="78166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37546A"/>
    <w:multiLevelType w:val="hybridMultilevel"/>
    <w:tmpl w:val="6FB63A9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24" w15:restartNumberingAfterBreak="0">
    <w:nsid w:val="61C63B6B"/>
    <w:multiLevelType w:val="hybridMultilevel"/>
    <w:tmpl w:val="92B6E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301AB9"/>
    <w:multiLevelType w:val="hybridMultilevel"/>
    <w:tmpl w:val="C75CBFDE"/>
    <w:lvl w:ilvl="0" w:tplc="5C6E82D2">
      <w:start w:val="1"/>
      <w:numFmt w:val="bullet"/>
      <w:lvlText w:val="•"/>
      <w:lvlJc w:val="left"/>
      <w:pPr>
        <w:tabs>
          <w:tab w:val="num" w:pos="720"/>
        </w:tabs>
        <w:ind w:left="720" w:hanging="360"/>
      </w:pPr>
      <w:rPr>
        <w:rFonts w:ascii="Arial" w:hAnsi="Arial" w:hint="default"/>
      </w:rPr>
    </w:lvl>
    <w:lvl w:ilvl="1" w:tplc="31D2A588" w:tentative="1">
      <w:start w:val="1"/>
      <w:numFmt w:val="bullet"/>
      <w:lvlText w:val="•"/>
      <w:lvlJc w:val="left"/>
      <w:pPr>
        <w:tabs>
          <w:tab w:val="num" w:pos="1440"/>
        </w:tabs>
        <w:ind w:left="1440" w:hanging="360"/>
      </w:pPr>
      <w:rPr>
        <w:rFonts w:ascii="Arial" w:hAnsi="Arial" w:hint="default"/>
      </w:rPr>
    </w:lvl>
    <w:lvl w:ilvl="2" w:tplc="F4A88692" w:tentative="1">
      <w:start w:val="1"/>
      <w:numFmt w:val="bullet"/>
      <w:lvlText w:val="•"/>
      <w:lvlJc w:val="left"/>
      <w:pPr>
        <w:tabs>
          <w:tab w:val="num" w:pos="2160"/>
        </w:tabs>
        <w:ind w:left="2160" w:hanging="360"/>
      </w:pPr>
      <w:rPr>
        <w:rFonts w:ascii="Arial" w:hAnsi="Arial" w:hint="default"/>
      </w:rPr>
    </w:lvl>
    <w:lvl w:ilvl="3" w:tplc="0B8EBD64" w:tentative="1">
      <w:start w:val="1"/>
      <w:numFmt w:val="bullet"/>
      <w:lvlText w:val="•"/>
      <w:lvlJc w:val="left"/>
      <w:pPr>
        <w:tabs>
          <w:tab w:val="num" w:pos="2880"/>
        </w:tabs>
        <w:ind w:left="2880" w:hanging="360"/>
      </w:pPr>
      <w:rPr>
        <w:rFonts w:ascii="Arial" w:hAnsi="Arial" w:hint="default"/>
      </w:rPr>
    </w:lvl>
    <w:lvl w:ilvl="4" w:tplc="4F62CD56" w:tentative="1">
      <w:start w:val="1"/>
      <w:numFmt w:val="bullet"/>
      <w:lvlText w:val="•"/>
      <w:lvlJc w:val="left"/>
      <w:pPr>
        <w:tabs>
          <w:tab w:val="num" w:pos="3600"/>
        </w:tabs>
        <w:ind w:left="3600" w:hanging="360"/>
      </w:pPr>
      <w:rPr>
        <w:rFonts w:ascii="Arial" w:hAnsi="Arial" w:hint="default"/>
      </w:rPr>
    </w:lvl>
    <w:lvl w:ilvl="5" w:tplc="153E5C24" w:tentative="1">
      <w:start w:val="1"/>
      <w:numFmt w:val="bullet"/>
      <w:lvlText w:val="•"/>
      <w:lvlJc w:val="left"/>
      <w:pPr>
        <w:tabs>
          <w:tab w:val="num" w:pos="4320"/>
        </w:tabs>
        <w:ind w:left="4320" w:hanging="360"/>
      </w:pPr>
      <w:rPr>
        <w:rFonts w:ascii="Arial" w:hAnsi="Arial" w:hint="default"/>
      </w:rPr>
    </w:lvl>
    <w:lvl w:ilvl="6" w:tplc="2D268828" w:tentative="1">
      <w:start w:val="1"/>
      <w:numFmt w:val="bullet"/>
      <w:lvlText w:val="•"/>
      <w:lvlJc w:val="left"/>
      <w:pPr>
        <w:tabs>
          <w:tab w:val="num" w:pos="5040"/>
        </w:tabs>
        <w:ind w:left="5040" w:hanging="360"/>
      </w:pPr>
      <w:rPr>
        <w:rFonts w:ascii="Arial" w:hAnsi="Arial" w:hint="default"/>
      </w:rPr>
    </w:lvl>
    <w:lvl w:ilvl="7" w:tplc="D03E5D4E" w:tentative="1">
      <w:start w:val="1"/>
      <w:numFmt w:val="bullet"/>
      <w:lvlText w:val="•"/>
      <w:lvlJc w:val="left"/>
      <w:pPr>
        <w:tabs>
          <w:tab w:val="num" w:pos="5760"/>
        </w:tabs>
        <w:ind w:left="5760" w:hanging="360"/>
      </w:pPr>
      <w:rPr>
        <w:rFonts w:ascii="Arial" w:hAnsi="Arial" w:hint="default"/>
      </w:rPr>
    </w:lvl>
    <w:lvl w:ilvl="8" w:tplc="E61E98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F45AA1"/>
    <w:multiLevelType w:val="hybridMultilevel"/>
    <w:tmpl w:val="1E564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507900"/>
    <w:multiLevelType w:val="hybridMultilevel"/>
    <w:tmpl w:val="7A4C1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CEB2F14"/>
    <w:multiLevelType w:val="hybridMultilevel"/>
    <w:tmpl w:val="034842AC"/>
    <w:lvl w:ilvl="0" w:tplc="78166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FB121E"/>
    <w:multiLevelType w:val="hybridMultilevel"/>
    <w:tmpl w:val="BE3EF6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1130BB"/>
    <w:multiLevelType w:val="hybridMultilevel"/>
    <w:tmpl w:val="52BA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0E5473"/>
    <w:multiLevelType w:val="hybridMultilevel"/>
    <w:tmpl w:val="0D26BA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940480"/>
    <w:multiLevelType w:val="hybridMultilevel"/>
    <w:tmpl w:val="B8BE0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B731A"/>
    <w:multiLevelType w:val="hybridMultilevel"/>
    <w:tmpl w:val="F32E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6"/>
  </w:num>
  <w:num w:numId="4">
    <w:abstractNumId w:val="10"/>
  </w:num>
  <w:num w:numId="5">
    <w:abstractNumId w:val="27"/>
  </w:num>
  <w:num w:numId="6">
    <w:abstractNumId w:val="16"/>
  </w:num>
  <w:num w:numId="7">
    <w:abstractNumId w:val="19"/>
  </w:num>
  <w:num w:numId="8">
    <w:abstractNumId w:val="20"/>
  </w:num>
  <w:num w:numId="9">
    <w:abstractNumId w:val="30"/>
  </w:num>
  <w:num w:numId="10">
    <w:abstractNumId w:val="8"/>
  </w:num>
  <w:num w:numId="11">
    <w:abstractNumId w:val="33"/>
  </w:num>
  <w:num w:numId="12">
    <w:abstractNumId w:val="23"/>
  </w:num>
  <w:num w:numId="13">
    <w:abstractNumId w:val="21"/>
  </w:num>
  <w:num w:numId="14">
    <w:abstractNumId w:val="3"/>
  </w:num>
  <w:num w:numId="15">
    <w:abstractNumId w:val="22"/>
  </w:num>
  <w:num w:numId="16">
    <w:abstractNumId w:val="28"/>
  </w:num>
  <w:num w:numId="17">
    <w:abstractNumId w:val="0"/>
  </w:num>
  <w:num w:numId="18">
    <w:abstractNumId w:val="12"/>
  </w:num>
  <w:num w:numId="19">
    <w:abstractNumId w:val="13"/>
  </w:num>
  <w:num w:numId="20">
    <w:abstractNumId w:val="2"/>
  </w:num>
  <w:num w:numId="21">
    <w:abstractNumId w:val="4"/>
  </w:num>
  <w:num w:numId="22">
    <w:abstractNumId w:val="32"/>
  </w:num>
  <w:num w:numId="23">
    <w:abstractNumId w:val="15"/>
  </w:num>
  <w:num w:numId="24">
    <w:abstractNumId w:val="9"/>
  </w:num>
  <w:num w:numId="25">
    <w:abstractNumId w:val="11"/>
  </w:num>
  <w:num w:numId="26">
    <w:abstractNumId w:val="14"/>
  </w:num>
  <w:num w:numId="27">
    <w:abstractNumId w:val="7"/>
  </w:num>
  <w:num w:numId="28">
    <w:abstractNumId w:val="1"/>
  </w:num>
  <w:num w:numId="29">
    <w:abstractNumId w:val="29"/>
  </w:num>
  <w:num w:numId="30">
    <w:abstractNumId w:val="17"/>
  </w:num>
  <w:num w:numId="31">
    <w:abstractNumId w:val="6"/>
  </w:num>
  <w:num w:numId="32">
    <w:abstractNumId w:val="18"/>
  </w:num>
  <w:num w:numId="33">
    <w:abstractNumId w:val="2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B4"/>
    <w:rsid w:val="0000024E"/>
    <w:rsid w:val="00004136"/>
    <w:rsid w:val="000045EA"/>
    <w:rsid w:val="00014832"/>
    <w:rsid w:val="00020415"/>
    <w:rsid w:val="00035503"/>
    <w:rsid w:val="00036055"/>
    <w:rsid w:val="0004428E"/>
    <w:rsid w:val="00045095"/>
    <w:rsid w:val="000462E2"/>
    <w:rsid w:val="00046495"/>
    <w:rsid w:val="00051725"/>
    <w:rsid w:val="00052089"/>
    <w:rsid w:val="0006249E"/>
    <w:rsid w:val="00064034"/>
    <w:rsid w:val="00064A8C"/>
    <w:rsid w:val="00066F35"/>
    <w:rsid w:val="00074C8F"/>
    <w:rsid w:val="000833F4"/>
    <w:rsid w:val="00096F65"/>
    <w:rsid w:val="00097A7D"/>
    <w:rsid w:val="00097F9C"/>
    <w:rsid w:val="000A2382"/>
    <w:rsid w:val="000A3989"/>
    <w:rsid w:val="000B5C75"/>
    <w:rsid w:val="000C7C44"/>
    <w:rsid w:val="000D1E7A"/>
    <w:rsid w:val="000D2787"/>
    <w:rsid w:val="000E0634"/>
    <w:rsid w:val="000F048A"/>
    <w:rsid w:val="000F06E3"/>
    <w:rsid w:val="000F2E9E"/>
    <w:rsid w:val="000F4AE0"/>
    <w:rsid w:val="000F6E11"/>
    <w:rsid w:val="00104743"/>
    <w:rsid w:val="00105900"/>
    <w:rsid w:val="00106D0C"/>
    <w:rsid w:val="00121DCE"/>
    <w:rsid w:val="00131D7D"/>
    <w:rsid w:val="00147943"/>
    <w:rsid w:val="00147D96"/>
    <w:rsid w:val="00156C04"/>
    <w:rsid w:val="00157300"/>
    <w:rsid w:val="00160810"/>
    <w:rsid w:val="00161BD4"/>
    <w:rsid w:val="00162D13"/>
    <w:rsid w:val="0016379E"/>
    <w:rsid w:val="0016773C"/>
    <w:rsid w:val="00173B95"/>
    <w:rsid w:val="001803BD"/>
    <w:rsid w:val="00182419"/>
    <w:rsid w:val="00187B45"/>
    <w:rsid w:val="001926C7"/>
    <w:rsid w:val="00195335"/>
    <w:rsid w:val="001A6442"/>
    <w:rsid w:val="001B14F2"/>
    <w:rsid w:val="001B54FC"/>
    <w:rsid w:val="001C036D"/>
    <w:rsid w:val="001D03DB"/>
    <w:rsid w:val="001D60B9"/>
    <w:rsid w:val="00204D9F"/>
    <w:rsid w:val="00214209"/>
    <w:rsid w:val="00220031"/>
    <w:rsid w:val="00224FF5"/>
    <w:rsid w:val="00234B06"/>
    <w:rsid w:val="00236036"/>
    <w:rsid w:val="002415EA"/>
    <w:rsid w:val="00243E20"/>
    <w:rsid w:val="00245227"/>
    <w:rsid w:val="002460CD"/>
    <w:rsid w:val="00246ADD"/>
    <w:rsid w:val="00246E5B"/>
    <w:rsid w:val="00247A64"/>
    <w:rsid w:val="00251664"/>
    <w:rsid w:val="002539B1"/>
    <w:rsid w:val="00254C07"/>
    <w:rsid w:val="00265FDC"/>
    <w:rsid w:val="00275CB7"/>
    <w:rsid w:val="00280C9A"/>
    <w:rsid w:val="0028264C"/>
    <w:rsid w:val="0028696E"/>
    <w:rsid w:val="00287ACF"/>
    <w:rsid w:val="002918CE"/>
    <w:rsid w:val="0029537A"/>
    <w:rsid w:val="00296A72"/>
    <w:rsid w:val="00297A6B"/>
    <w:rsid w:val="002A0526"/>
    <w:rsid w:val="002B40E2"/>
    <w:rsid w:val="002C128C"/>
    <w:rsid w:val="002C1F39"/>
    <w:rsid w:val="002C4CD4"/>
    <w:rsid w:val="002D5016"/>
    <w:rsid w:val="002E0859"/>
    <w:rsid w:val="002E4FE6"/>
    <w:rsid w:val="003038A3"/>
    <w:rsid w:val="003041E7"/>
    <w:rsid w:val="003068AE"/>
    <w:rsid w:val="00314B02"/>
    <w:rsid w:val="00315837"/>
    <w:rsid w:val="003245D0"/>
    <w:rsid w:val="00343EEE"/>
    <w:rsid w:val="003504F9"/>
    <w:rsid w:val="0035118F"/>
    <w:rsid w:val="00351C73"/>
    <w:rsid w:val="00361D0F"/>
    <w:rsid w:val="00362E23"/>
    <w:rsid w:val="00382C42"/>
    <w:rsid w:val="003A5E24"/>
    <w:rsid w:val="003C5C54"/>
    <w:rsid w:val="003C7B82"/>
    <w:rsid w:val="003C7D6F"/>
    <w:rsid w:val="003D2C86"/>
    <w:rsid w:val="003D2F5D"/>
    <w:rsid w:val="003D7736"/>
    <w:rsid w:val="003E49AA"/>
    <w:rsid w:val="003E596C"/>
    <w:rsid w:val="003F5A4E"/>
    <w:rsid w:val="0040108B"/>
    <w:rsid w:val="00404C02"/>
    <w:rsid w:val="00407852"/>
    <w:rsid w:val="00420C68"/>
    <w:rsid w:val="00424399"/>
    <w:rsid w:val="004312CA"/>
    <w:rsid w:val="00432CD3"/>
    <w:rsid w:val="00433CBB"/>
    <w:rsid w:val="00435BB2"/>
    <w:rsid w:val="00445D89"/>
    <w:rsid w:val="00452D16"/>
    <w:rsid w:val="004570AB"/>
    <w:rsid w:val="00463948"/>
    <w:rsid w:val="00491573"/>
    <w:rsid w:val="00496B20"/>
    <w:rsid w:val="00497B90"/>
    <w:rsid w:val="004A7FC3"/>
    <w:rsid w:val="004B4F53"/>
    <w:rsid w:val="004B73E0"/>
    <w:rsid w:val="004C7F5C"/>
    <w:rsid w:val="004D361F"/>
    <w:rsid w:val="004D3DF3"/>
    <w:rsid w:val="004D45CB"/>
    <w:rsid w:val="004D52AF"/>
    <w:rsid w:val="004D5DD7"/>
    <w:rsid w:val="004E26FA"/>
    <w:rsid w:val="004E31B7"/>
    <w:rsid w:val="004F5C2D"/>
    <w:rsid w:val="005015B5"/>
    <w:rsid w:val="00503E59"/>
    <w:rsid w:val="0050647E"/>
    <w:rsid w:val="00511296"/>
    <w:rsid w:val="0051571B"/>
    <w:rsid w:val="00520AA9"/>
    <w:rsid w:val="005210A6"/>
    <w:rsid w:val="00521302"/>
    <w:rsid w:val="00524F21"/>
    <w:rsid w:val="005253AF"/>
    <w:rsid w:val="00525D52"/>
    <w:rsid w:val="005336B3"/>
    <w:rsid w:val="005339E6"/>
    <w:rsid w:val="00542891"/>
    <w:rsid w:val="00552F2B"/>
    <w:rsid w:val="005547B3"/>
    <w:rsid w:val="005603BD"/>
    <w:rsid w:val="00560C07"/>
    <w:rsid w:val="00562376"/>
    <w:rsid w:val="0057001A"/>
    <w:rsid w:val="00574522"/>
    <w:rsid w:val="00574E0F"/>
    <w:rsid w:val="00575E5B"/>
    <w:rsid w:val="005844B3"/>
    <w:rsid w:val="00584EEB"/>
    <w:rsid w:val="00586EBB"/>
    <w:rsid w:val="00591072"/>
    <w:rsid w:val="005A61B5"/>
    <w:rsid w:val="005C1F5A"/>
    <w:rsid w:val="005D113E"/>
    <w:rsid w:val="005D5979"/>
    <w:rsid w:val="005D728C"/>
    <w:rsid w:val="005E0263"/>
    <w:rsid w:val="005E03E0"/>
    <w:rsid w:val="005E5116"/>
    <w:rsid w:val="0060350D"/>
    <w:rsid w:val="00626F67"/>
    <w:rsid w:val="0062710F"/>
    <w:rsid w:val="00631DB9"/>
    <w:rsid w:val="00636555"/>
    <w:rsid w:val="00636AF0"/>
    <w:rsid w:val="00652D1B"/>
    <w:rsid w:val="006629E1"/>
    <w:rsid w:val="00681CF7"/>
    <w:rsid w:val="00682DFD"/>
    <w:rsid w:val="00684028"/>
    <w:rsid w:val="00684A45"/>
    <w:rsid w:val="00684A9E"/>
    <w:rsid w:val="0068705F"/>
    <w:rsid w:val="00687768"/>
    <w:rsid w:val="006967C0"/>
    <w:rsid w:val="0069688E"/>
    <w:rsid w:val="006A613F"/>
    <w:rsid w:val="006A69E7"/>
    <w:rsid w:val="006B7DA5"/>
    <w:rsid w:val="006C040D"/>
    <w:rsid w:val="006C1B11"/>
    <w:rsid w:val="006C3492"/>
    <w:rsid w:val="006C768B"/>
    <w:rsid w:val="006D7EF5"/>
    <w:rsid w:val="006E0992"/>
    <w:rsid w:val="006E2543"/>
    <w:rsid w:val="006E3072"/>
    <w:rsid w:val="006F5A74"/>
    <w:rsid w:val="0070653F"/>
    <w:rsid w:val="00706814"/>
    <w:rsid w:val="00706BC8"/>
    <w:rsid w:val="00707CB5"/>
    <w:rsid w:val="007138C7"/>
    <w:rsid w:val="00734F89"/>
    <w:rsid w:val="00736084"/>
    <w:rsid w:val="0074387B"/>
    <w:rsid w:val="00752F1E"/>
    <w:rsid w:val="00780352"/>
    <w:rsid w:val="00783026"/>
    <w:rsid w:val="0078469B"/>
    <w:rsid w:val="00792EAF"/>
    <w:rsid w:val="0079395F"/>
    <w:rsid w:val="007944E1"/>
    <w:rsid w:val="007A5135"/>
    <w:rsid w:val="007B077B"/>
    <w:rsid w:val="007B46A2"/>
    <w:rsid w:val="007B75AE"/>
    <w:rsid w:val="007C0B91"/>
    <w:rsid w:val="007C15EA"/>
    <w:rsid w:val="007C3A6B"/>
    <w:rsid w:val="007C643C"/>
    <w:rsid w:val="007C68B0"/>
    <w:rsid w:val="007C6A52"/>
    <w:rsid w:val="007D14FD"/>
    <w:rsid w:val="007D7884"/>
    <w:rsid w:val="007E4567"/>
    <w:rsid w:val="007E5259"/>
    <w:rsid w:val="007F1136"/>
    <w:rsid w:val="007F1D6F"/>
    <w:rsid w:val="007F2997"/>
    <w:rsid w:val="007F7673"/>
    <w:rsid w:val="008117B1"/>
    <w:rsid w:val="00815005"/>
    <w:rsid w:val="00820444"/>
    <w:rsid w:val="00820BAD"/>
    <w:rsid w:val="0083059F"/>
    <w:rsid w:val="008461AF"/>
    <w:rsid w:val="0085176C"/>
    <w:rsid w:val="00861D55"/>
    <w:rsid w:val="008650AF"/>
    <w:rsid w:val="008768B1"/>
    <w:rsid w:val="00890843"/>
    <w:rsid w:val="00892BEB"/>
    <w:rsid w:val="00894845"/>
    <w:rsid w:val="00895467"/>
    <w:rsid w:val="00895DA4"/>
    <w:rsid w:val="008A1C55"/>
    <w:rsid w:val="008B1C2C"/>
    <w:rsid w:val="008B2A1C"/>
    <w:rsid w:val="008B2EDD"/>
    <w:rsid w:val="008B6D07"/>
    <w:rsid w:val="008C1A77"/>
    <w:rsid w:val="008C1B49"/>
    <w:rsid w:val="008C752C"/>
    <w:rsid w:val="008D37A5"/>
    <w:rsid w:val="008E2ED3"/>
    <w:rsid w:val="008E62FB"/>
    <w:rsid w:val="008E6B2B"/>
    <w:rsid w:val="008F7549"/>
    <w:rsid w:val="00910C34"/>
    <w:rsid w:val="009145CF"/>
    <w:rsid w:val="009179AD"/>
    <w:rsid w:val="00934989"/>
    <w:rsid w:val="00951676"/>
    <w:rsid w:val="00955BEE"/>
    <w:rsid w:val="009637AB"/>
    <w:rsid w:val="00976399"/>
    <w:rsid w:val="00987820"/>
    <w:rsid w:val="00992C8A"/>
    <w:rsid w:val="009A55A2"/>
    <w:rsid w:val="009A6746"/>
    <w:rsid w:val="009B53AE"/>
    <w:rsid w:val="009C09C5"/>
    <w:rsid w:val="009C7067"/>
    <w:rsid w:val="009D656A"/>
    <w:rsid w:val="009E3E9C"/>
    <w:rsid w:val="009E5EDC"/>
    <w:rsid w:val="009F6B77"/>
    <w:rsid w:val="009F7198"/>
    <w:rsid w:val="00A059DC"/>
    <w:rsid w:val="00A05C48"/>
    <w:rsid w:val="00A10C9A"/>
    <w:rsid w:val="00A32122"/>
    <w:rsid w:val="00A32ABE"/>
    <w:rsid w:val="00A32E13"/>
    <w:rsid w:val="00A37CA5"/>
    <w:rsid w:val="00A50AEC"/>
    <w:rsid w:val="00A5464D"/>
    <w:rsid w:val="00A5634E"/>
    <w:rsid w:val="00A62E5A"/>
    <w:rsid w:val="00A65135"/>
    <w:rsid w:val="00A71C88"/>
    <w:rsid w:val="00A71DAC"/>
    <w:rsid w:val="00A73447"/>
    <w:rsid w:val="00A7358C"/>
    <w:rsid w:val="00A73C14"/>
    <w:rsid w:val="00A74770"/>
    <w:rsid w:val="00A857B3"/>
    <w:rsid w:val="00A868FA"/>
    <w:rsid w:val="00A91522"/>
    <w:rsid w:val="00A973CE"/>
    <w:rsid w:val="00AA0F31"/>
    <w:rsid w:val="00AA2FA9"/>
    <w:rsid w:val="00AA3501"/>
    <w:rsid w:val="00AA509F"/>
    <w:rsid w:val="00AB0253"/>
    <w:rsid w:val="00AB0E2F"/>
    <w:rsid w:val="00AB59F1"/>
    <w:rsid w:val="00AC1AA0"/>
    <w:rsid w:val="00AC2295"/>
    <w:rsid w:val="00AD0796"/>
    <w:rsid w:val="00AD2AEC"/>
    <w:rsid w:val="00AD325F"/>
    <w:rsid w:val="00AD3D1F"/>
    <w:rsid w:val="00AE0663"/>
    <w:rsid w:val="00AE23E7"/>
    <w:rsid w:val="00B04E65"/>
    <w:rsid w:val="00B069D9"/>
    <w:rsid w:val="00B11B90"/>
    <w:rsid w:val="00B13046"/>
    <w:rsid w:val="00B13060"/>
    <w:rsid w:val="00B15B43"/>
    <w:rsid w:val="00B2186B"/>
    <w:rsid w:val="00B22C91"/>
    <w:rsid w:val="00B30DD9"/>
    <w:rsid w:val="00B47E17"/>
    <w:rsid w:val="00B549B8"/>
    <w:rsid w:val="00B57787"/>
    <w:rsid w:val="00B62DC3"/>
    <w:rsid w:val="00B63072"/>
    <w:rsid w:val="00B6390F"/>
    <w:rsid w:val="00B670D2"/>
    <w:rsid w:val="00B70D33"/>
    <w:rsid w:val="00B8499D"/>
    <w:rsid w:val="00B90FB8"/>
    <w:rsid w:val="00B947D6"/>
    <w:rsid w:val="00BA199C"/>
    <w:rsid w:val="00BA1C7F"/>
    <w:rsid w:val="00BB199F"/>
    <w:rsid w:val="00BB613E"/>
    <w:rsid w:val="00BC48F4"/>
    <w:rsid w:val="00BD5BE1"/>
    <w:rsid w:val="00BE3D2E"/>
    <w:rsid w:val="00BF398B"/>
    <w:rsid w:val="00BF6662"/>
    <w:rsid w:val="00BF67D3"/>
    <w:rsid w:val="00C03267"/>
    <w:rsid w:val="00C03595"/>
    <w:rsid w:val="00C117C8"/>
    <w:rsid w:val="00C127E2"/>
    <w:rsid w:val="00C20F72"/>
    <w:rsid w:val="00C3515F"/>
    <w:rsid w:val="00C42296"/>
    <w:rsid w:val="00C434B5"/>
    <w:rsid w:val="00C44936"/>
    <w:rsid w:val="00C50425"/>
    <w:rsid w:val="00C51929"/>
    <w:rsid w:val="00C5265B"/>
    <w:rsid w:val="00C56104"/>
    <w:rsid w:val="00C70C5A"/>
    <w:rsid w:val="00C84DA0"/>
    <w:rsid w:val="00C93E4C"/>
    <w:rsid w:val="00C95102"/>
    <w:rsid w:val="00C95AD7"/>
    <w:rsid w:val="00C969A2"/>
    <w:rsid w:val="00C96D67"/>
    <w:rsid w:val="00CB0DEF"/>
    <w:rsid w:val="00CB4CD1"/>
    <w:rsid w:val="00CC6B1E"/>
    <w:rsid w:val="00CC759C"/>
    <w:rsid w:val="00CD3047"/>
    <w:rsid w:val="00CE7AF8"/>
    <w:rsid w:val="00CF0BCD"/>
    <w:rsid w:val="00CF6DC0"/>
    <w:rsid w:val="00D104BD"/>
    <w:rsid w:val="00D12977"/>
    <w:rsid w:val="00D14FC0"/>
    <w:rsid w:val="00D15362"/>
    <w:rsid w:val="00D15B9D"/>
    <w:rsid w:val="00D51456"/>
    <w:rsid w:val="00D5410E"/>
    <w:rsid w:val="00D54916"/>
    <w:rsid w:val="00D80987"/>
    <w:rsid w:val="00D85CAA"/>
    <w:rsid w:val="00D85F01"/>
    <w:rsid w:val="00DA04EB"/>
    <w:rsid w:val="00DA0F17"/>
    <w:rsid w:val="00DA3AAC"/>
    <w:rsid w:val="00DB02C1"/>
    <w:rsid w:val="00DC5B96"/>
    <w:rsid w:val="00DD0CE8"/>
    <w:rsid w:val="00DD0FDC"/>
    <w:rsid w:val="00DD2A55"/>
    <w:rsid w:val="00DE0487"/>
    <w:rsid w:val="00E03E7C"/>
    <w:rsid w:val="00E04DB0"/>
    <w:rsid w:val="00E16673"/>
    <w:rsid w:val="00E27C30"/>
    <w:rsid w:val="00E3219C"/>
    <w:rsid w:val="00E43574"/>
    <w:rsid w:val="00E44043"/>
    <w:rsid w:val="00E44407"/>
    <w:rsid w:val="00E45973"/>
    <w:rsid w:val="00E5143D"/>
    <w:rsid w:val="00E521EA"/>
    <w:rsid w:val="00E578B6"/>
    <w:rsid w:val="00E81DC5"/>
    <w:rsid w:val="00E86968"/>
    <w:rsid w:val="00E90A17"/>
    <w:rsid w:val="00E9397B"/>
    <w:rsid w:val="00E96272"/>
    <w:rsid w:val="00E96601"/>
    <w:rsid w:val="00EA315B"/>
    <w:rsid w:val="00EA3D81"/>
    <w:rsid w:val="00EB4C85"/>
    <w:rsid w:val="00EB57C3"/>
    <w:rsid w:val="00EB7BB4"/>
    <w:rsid w:val="00EC5815"/>
    <w:rsid w:val="00ED122A"/>
    <w:rsid w:val="00ED1A1B"/>
    <w:rsid w:val="00ED2F97"/>
    <w:rsid w:val="00ED750D"/>
    <w:rsid w:val="00EE4334"/>
    <w:rsid w:val="00EE49B3"/>
    <w:rsid w:val="00EE6CE7"/>
    <w:rsid w:val="00EF3F33"/>
    <w:rsid w:val="00EF6AED"/>
    <w:rsid w:val="00EF7B37"/>
    <w:rsid w:val="00EF7C67"/>
    <w:rsid w:val="00F003DB"/>
    <w:rsid w:val="00F035C1"/>
    <w:rsid w:val="00F07247"/>
    <w:rsid w:val="00F07C81"/>
    <w:rsid w:val="00F106A2"/>
    <w:rsid w:val="00F15880"/>
    <w:rsid w:val="00F1605D"/>
    <w:rsid w:val="00F2031E"/>
    <w:rsid w:val="00F206C3"/>
    <w:rsid w:val="00F24E9B"/>
    <w:rsid w:val="00F36275"/>
    <w:rsid w:val="00F36A56"/>
    <w:rsid w:val="00F47DE1"/>
    <w:rsid w:val="00F56577"/>
    <w:rsid w:val="00F56EDC"/>
    <w:rsid w:val="00F62CF1"/>
    <w:rsid w:val="00F62D29"/>
    <w:rsid w:val="00F642DC"/>
    <w:rsid w:val="00F67A7B"/>
    <w:rsid w:val="00F72323"/>
    <w:rsid w:val="00F7540D"/>
    <w:rsid w:val="00F75B8F"/>
    <w:rsid w:val="00F802C0"/>
    <w:rsid w:val="00F84876"/>
    <w:rsid w:val="00F941F2"/>
    <w:rsid w:val="00F97768"/>
    <w:rsid w:val="00FB2A58"/>
    <w:rsid w:val="00FB5B3B"/>
    <w:rsid w:val="00FC3613"/>
    <w:rsid w:val="00FC3B39"/>
    <w:rsid w:val="00FC4049"/>
    <w:rsid w:val="00FE2623"/>
    <w:rsid w:val="00FE6F4A"/>
    <w:rsid w:val="00FF0427"/>
    <w:rsid w:val="00FF4455"/>
    <w:rsid w:val="00FF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BB99"/>
  <w15:chartTrackingRefBased/>
  <w15:docId w15:val="{582CA0CE-5CCF-423B-B046-D5CCEE6F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7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F2"/>
    <w:pPr>
      <w:tabs>
        <w:tab w:val="center" w:pos="4513"/>
        <w:tab w:val="right" w:pos="9026"/>
      </w:tabs>
      <w:spacing w:after="0" w:line="240" w:lineRule="auto"/>
    </w:pPr>
  </w:style>
  <w:style w:type="character" w:customStyle="1" w:styleId="HeaderChar">
    <w:name w:val="Header Char"/>
    <w:link w:val="Header"/>
    <w:uiPriority w:val="99"/>
    <w:rsid w:val="00F941F2"/>
    <w:rPr>
      <w:rFonts w:ascii="Ebrima" w:hAnsi="Ebrima"/>
      <w:sz w:val="24"/>
    </w:rPr>
  </w:style>
  <w:style w:type="paragraph" w:styleId="Footer">
    <w:name w:val="footer"/>
    <w:basedOn w:val="Normal"/>
    <w:link w:val="FooterChar"/>
    <w:uiPriority w:val="99"/>
    <w:unhideWhenUsed/>
    <w:rsid w:val="00F941F2"/>
    <w:pPr>
      <w:tabs>
        <w:tab w:val="center" w:pos="4513"/>
        <w:tab w:val="right" w:pos="9026"/>
      </w:tabs>
      <w:spacing w:after="0" w:line="240" w:lineRule="auto"/>
    </w:pPr>
  </w:style>
  <w:style w:type="character" w:customStyle="1" w:styleId="FooterChar">
    <w:name w:val="Footer Char"/>
    <w:link w:val="Footer"/>
    <w:uiPriority w:val="99"/>
    <w:rsid w:val="00F941F2"/>
    <w:rPr>
      <w:rFonts w:ascii="Ebrima" w:hAnsi="Ebrima"/>
      <w:sz w:val="24"/>
    </w:rPr>
  </w:style>
  <w:style w:type="table" w:styleId="TableGrid">
    <w:name w:val="Table Grid"/>
    <w:basedOn w:val="TableNormal"/>
    <w:uiPriority w:val="39"/>
    <w:rsid w:val="00DA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4209"/>
    <w:rPr>
      <w:color w:val="0563C1"/>
      <w:u w:val="single"/>
    </w:rPr>
  </w:style>
  <w:style w:type="character" w:styleId="UnresolvedMention">
    <w:name w:val="Unresolved Mention"/>
    <w:uiPriority w:val="99"/>
    <w:semiHidden/>
    <w:unhideWhenUsed/>
    <w:rsid w:val="00214209"/>
    <w:rPr>
      <w:color w:val="808080"/>
      <w:shd w:val="clear" w:color="auto" w:fill="E6E6E6"/>
    </w:rPr>
  </w:style>
  <w:style w:type="paragraph" w:styleId="ListParagraph">
    <w:name w:val="List Paragraph"/>
    <w:basedOn w:val="Normal"/>
    <w:uiPriority w:val="34"/>
    <w:qFormat/>
    <w:rsid w:val="009E5EDC"/>
    <w:pPr>
      <w:ind w:left="720"/>
      <w:contextualSpacing/>
    </w:pPr>
  </w:style>
  <w:style w:type="paragraph" w:customStyle="1" w:styleId="Default">
    <w:name w:val="Default"/>
    <w:rsid w:val="00E9397B"/>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020415"/>
    <w:rPr>
      <w:sz w:val="16"/>
      <w:szCs w:val="16"/>
    </w:rPr>
  </w:style>
  <w:style w:type="paragraph" w:styleId="CommentText">
    <w:name w:val="annotation text"/>
    <w:basedOn w:val="Normal"/>
    <w:link w:val="CommentTextChar"/>
    <w:uiPriority w:val="99"/>
    <w:semiHidden/>
    <w:unhideWhenUsed/>
    <w:rsid w:val="00020415"/>
    <w:pPr>
      <w:spacing w:line="240" w:lineRule="auto"/>
    </w:pPr>
    <w:rPr>
      <w:sz w:val="20"/>
      <w:szCs w:val="20"/>
    </w:rPr>
  </w:style>
  <w:style w:type="character" w:customStyle="1" w:styleId="CommentTextChar">
    <w:name w:val="Comment Text Char"/>
    <w:basedOn w:val="DefaultParagraphFont"/>
    <w:link w:val="CommentText"/>
    <w:uiPriority w:val="99"/>
    <w:semiHidden/>
    <w:rsid w:val="000204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20415"/>
    <w:rPr>
      <w:b/>
      <w:bCs/>
    </w:rPr>
  </w:style>
  <w:style w:type="character" w:customStyle="1" w:styleId="CommentSubjectChar">
    <w:name w:val="Comment Subject Char"/>
    <w:basedOn w:val="CommentTextChar"/>
    <w:link w:val="CommentSubject"/>
    <w:uiPriority w:val="99"/>
    <w:semiHidden/>
    <w:rsid w:val="00020415"/>
    <w:rPr>
      <w:rFonts w:asciiTheme="minorHAnsi" w:eastAsiaTheme="minorHAnsi" w:hAnsiTheme="minorHAnsi" w:cstheme="minorBidi"/>
      <w:b/>
      <w:bCs/>
      <w:lang w:eastAsia="en-US"/>
    </w:rPr>
  </w:style>
  <w:style w:type="paragraph" w:styleId="NormalWeb">
    <w:name w:val="Normal (Web)"/>
    <w:basedOn w:val="Normal"/>
    <w:uiPriority w:val="99"/>
    <w:unhideWhenUsed/>
    <w:rsid w:val="00020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0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9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xual-violence-and-sexual-harassment-between-children-in-schools-and-colleg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ook.org.uk/training/wider-professional-training/sexual-behaviours-traffic-light-tool/" TargetMode="External"/><Relationship Id="rId4" Type="http://schemas.openxmlformats.org/officeDocument/2006/relationships/settings" Target="settings.xml"/><Relationship Id="rId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Documents\Custom%20Office%20Templates\SGN%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FC3F-FC1C-4529-9108-3604A2BA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SGN Template (Portrait)</Template>
  <TotalTime>271</TotalTime>
  <Pages>1</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Safeguarding Network</Manager>
  <Company>Safeguarding Network</Company>
  <LinksUpToDate>false</LinksUpToDate>
  <CharactersWithSpaces>14813</CharactersWithSpaces>
  <SharedDoc>false</SharedDoc>
  <HyperlinkBase>https://safeguarding.network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Copyright (c) 2018 Safeguarding Network</dc:description>
  <cp:lastModifiedBy>Andrew Martin</cp:lastModifiedBy>
  <cp:revision>5</cp:revision>
  <cp:lastPrinted>2018-12-06T10:19:00Z</cp:lastPrinted>
  <dcterms:created xsi:type="dcterms:W3CDTF">2021-07-07T11:12:00Z</dcterms:created>
  <dcterms:modified xsi:type="dcterms:W3CDTF">2021-07-07T15:34:00Z</dcterms:modified>
  <cp:category/>
</cp:coreProperties>
</file>